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A0" w:rsidRDefault="00B06CA0" w:rsidP="00E44916">
      <w:pPr>
        <w:pStyle w:val="Heading3"/>
        <w:jc w:val="right"/>
        <w:rPr>
          <w:i/>
          <w:iCs/>
          <w:color w:val="auto"/>
        </w:rPr>
      </w:pPr>
      <w:bookmarkStart w:id="0" w:name="_Toc468109252"/>
      <w:bookmarkStart w:id="1" w:name="_Toc469225600"/>
      <w:bookmarkStart w:id="2" w:name="_Toc475518428"/>
      <w:bookmarkStart w:id="3" w:name="_Toc475519921"/>
    </w:p>
    <w:p w:rsidR="00E34815" w:rsidRPr="00A27893" w:rsidRDefault="008D2E8F" w:rsidP="00E44916">
      <w:pPr>
        <w:pStyle w:val="Heading3"/>
        <w:jc w:val="right"/>
        <w:rPr>
          <w:i/>
          <w:iCs/>
          <w:color w:val="auto"/>
        </w:rPr>
      </w:pPr>
      <w:r w:rsidRPr="00A27893">
        <w:rPr>
          <w:i/>
          <w:iCs/>
          <w:color w:val="auto"/>
        </w:rPr>
        <w:t>Anexa 1</w:t>
      </w:r>
      <w:r w:rsidR="00A27893" w:rsidRPr="00A27893">
        <w:rPr>
          <w:i/>
          <w:iCs/>
          <w:color w:val="auto"/>
        </w:rPr>
        <w:t>6</w:t>
      </w:r>
      <w:r w:rsidRPr="00A27893">
        <w:rPr>
          <w:i/>
          <w:iCs/>
          <w:color w:val="auto"/>
        </w:rPr>
        <w:t xml:space="preserve"> - </w:t>
      </w:r>
      <w:r w:rsidR="00E57D2D" w:rsidRPr="00A27893">
        <w:rPr>
          <w:i/>
          <w:iCs/>
          <w:color w:val="auto"/>
        </w:rPr>
        <w:t xml:space="preserve">Model </w:t>
      </w:r>
      <w:r w:rsidR="009A1ACE" w:rsidRPr="00A27893">
        <w:rPr>
          <w:i/>
          <w:iCs/>
          <w:color w:val="auto"/>
        </w:rPr>
        <w:t>Contract(produse)</w:t>
      </w:r>
    </w:p>
    <w:p w:rsidR="00731397" w:rsidRPr="00E57D2D" w:rsidRDefault="00731397" w:rsidP="00E57D2D">
      <w:pPr>
        <w:pStyle w:val="NoSpacing"/>
        <w:rPr>
          <w:shd w:val="clear" w:color="auto" w:fill="D9D9D9" w:themeFill="background1" w:themeFillShade="D9"/>
          <w:lang w:val="ro-RO"/>
        </w:rPr>
      </w:pPr>
    </w:p>
    <w:p w:rsidR="00731397" w:rsidRPr="00E57D2D" w:rsidRDefault="00731397" w:rsidP="00E57D2D">
      <w:pPr>
        <w:pStyle w:val="NoSpacing"/>
        <w:rPr>
          <w:shd w:val="clear" w:color="auto" w:fill="D9D9D9" w:themeFill="background1" w:themeFillShade="D9"/>
          <w:lang w:val="ro-RO"/>
        </w:rPr>
      </w:pPr>
    </w:p>
    <w:bookmarkEnd w:id="0"/>
    <w:bookmarkEnd w:id="1"/>
    <w:p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rsidR="00733031" w:rsidRPr="00E57D2D" w:rsidRDefault="00733031">
      <w:pPr>
        <w:pStyle w:val="ListParagraph"/>
        <w:tabs>
          <w:tab w:val="left" w:pos="567"/>
        </w:tabs>
        <w:spacing w:after="0" w:line="240" w:lineRule="auto"/>
        <w:ind w:left="0"/>
        <w:rPr>
          <w:rFonts w:cs="Calibri"/>
        </w:rPr>
      </w:pPr>
    </w:p>
    <w:p w:rsidR="00733031" w:rsidRPr="00E57D2D" w:rsidRDefault="00657A8B">
      <w:pPr>
        <w:tabs>
          <w:tab w:val="left" w:pos="567"/>
        </w:tabs>
        <w:spacing w:after="0" w:line="240" w:lineRule="auto"/>
        <w:jc w:val="center"/>
        <w:rPr>
          <w:rFonts w:cs="Calibri"/>
        </w:rPr>
      </w:pPr>
      <w:r>
        <w:rPr>
          <w:rFonts w:cs="Calibri"/>
        </w:rPr>
        <w:t>Privind ,,Achizitia de echipamente IT”</w:t>
      </w:r>
    </w:p>
    <w:p w:rsidR="00733031" w:rsidRPr="00E57D2D" w:rsidRDefault="00733031">
      <w:pPr>
        <w:tabs>
          <w:tab w:val="left" w:pos="567"/>
        </w:tabs>
        <w:spacing w:after="0" w:line="240" w:lineRule="auto"/>
        <w:jc w:val="center"/>
        <w:rPr>
          <w:rFonts w:cs="Calibri"/>
        </w:rPr>
      </w:pPr>
    </w:p>
    <w:p w:rsidR="00733031" w:rsidRPr="00E57D2D" w:rsidRDefault="000515DF">
      <w:pPr>
        <w:tabs>
          <w:tab w:val="left" w:pos="567"/>
        </w:tabs>
        <w:spacing w:after="0" w:line="240" w:lineRule="auto"/>
        <w:jc w:val="center"/>
        <w:rPr>
          <w:rFonts w:cs="Calibri"/>
        </w:rPr>
      </w:pPr>
      <w:r w:rsidRPr="00E57D2D">
        <w:rPr>
          <w:rFonts w:cs="Calibri"/>
        </w:rPr>
        <w:t xml:space="preserve">Nr.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numărul Contractului</w:t>
      </w:r>
      <w:r w:rsidRPr="00E57D2D">
        <w:rPr>
          <w:rFonts w:cs="Calibri"/>
          <w:i/>
          <w:shd w:val="clear" w:color="auto" w:fill="D9D9D9" w:themeFill="background1" w:themeFillShade="D9"/>
        </w:rPr>
        <w:t>]</w:t>
      </w:r>
      <w:r w:rsidRPr="00E57D2D">
        <w:rPr>
          <w:rFonts w:cs="Calibri"/>
        </w:rPr>
        <w:t xml:space="preserve">din data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zz/ll/aaaa</w:t>
      </w:r>
      <w:r w:rsidRPr="00E57D2D">
        <w:rPr>
          <w:rFonts w:cs="Calibri"/>
          <w:i/>
          <w:shd w:val="clear" w:color="auto" w:fill="D9D9D9" w:themeFill="background1" w:themeFillShade="D9"/>
        </w:rPr>
        <w:t>]</w:t>
      </w:r>
    </w:p>
    <w:p w:rsidR="00731397" w:rsidRPr="00E57D2D" w:rsidRDefault="00731397">
      <w:pPr>
        <w:tabs>
          <w:tab w:val="left" w:pos="567"/>
        </w:tabs>
        <w:spacing w:after="0" w:line="240" w:lineRule="auto"/>
        <w:rPr>
          <w:rFonts w:cs="Calibri"/>
        </w:rPr>
      </w:pPr>
    </w:p>
    <w:p w:rsidR="00733031" w:rsidRPr="00E57D2D" w:rsidRDefault="00733031">
      <w:pPr>
        <w:tabs>
          <w:tab w:val="left" w:pos="567"/>
        </w:tabs>
        <w:spacing w:after="0" w:line="240" w:lineRule="auto"/>
        <w:rPr>
          <w:rFonts w:cs="Calibri"/>
        </w:rPr>
      </w:pPr>
    </w:p>
    <w:p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rsidR="00E34815" w:rsidRPr="00E57D2D" w:rsidRDefault="00E34815" w:rsidP="00E34815">
      <w:pPr>
        <w:tabs>
          <w:tab w:val="left" w:pos="567"/>
        </w:tabs>
        <w:spacing w:after="0" w:line="240" w:lineRule="auto"/>
        <w:rPr>
          <w:rFonts w:cs="Calibri"/>
        </w:rPr>
      </w:pPr>
      <w:r w:rsidRPr="00E57D2D">
        <w:rPr>
          <w:rFonts w:cs="Calibri"/>
        </w:rPr>
        <w:t>între:</w:t>
      </w:r>
    </w:p>
    <w:p w:rsidR="00657A8B" w:rsidRPr="00E57D2D" w:rsidRDefault="00657A8B" w:rsidP="00657A8B">
      <w:pPr>
        <w:pStyle w:val="DefaultText"/>
        <w:jc w:val="both"/>
        <w:rPr>
          <w:rFonts w:ascii="Calibri" w:hAnsi="Calibri" w:cs="Calibri"/>
          <w:sz w:val="22"/>
          <w:szCs w:val="22"/>
          <w:lang w:val="ro-RO"/>
        </w:rPr>
      </w:pPr>
      <w:r w:rsidRPr="00023F93">
        <w:rPr>
          <w:rFonts w:asciiTheme="minorHAnsi" w:hAnsiTheme="minorHAnsi" w:cstheme="minorHAnsi"/>
          <w:b/>
          <w:bCs/>
          <w:noProof/>
          <w:sz w:val="22"/>
          <w:szCs w:val="22"/>
        </w:rPr>
        <w:t>Școala Gimnazială ,,George Coșbuc" 23 August</w:t>
      </w:r>
      <w:r>
        <w:rPr>
          <w:rFonts w:asciiTheme="minorHAnsi" w:hAnsiTheme="minorHAnsi" w:cstheme="minorHAnsi"/>
          <w:b/>
          <w:bCs/>
          <w:noProof/>
          <w:sz w:val="22"/>
          <w:szCs w:val="22"/>
        </w:rPr>
        <w:t>,</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575478">
        <w:rPr>
          <w:rFonts w:asciiTheme="minorHAnsi" w:eastAsia="Arial Unicode MS" w:hAnsiTheme="minorHAnsi" w:cstheme="minorHAnsi"/>
          <w:b/>
          <w:sz w:val="22"/>
          <w:szCs w:val="22"/>
          <w:lang w:val="ro-RO"/>
        </w:rPr>
        <w:t>Str. G. Calinescu nr. 42, Loc. 23 August, Jud. Constanta</w:t>
      </w:r>
      <w:r w:rsidRPr="00575478">
        <w:rPr>
          <w:rFonts w:asciiTheme="minorHAnsi" w:eastAsia="Arial Unicode MS" w:hAnsiTheme="minorHAnsi" w:cstheme="minorHAnsi"/>
          <w:b/>
          <w:i/>
          <w:sz w:val="22"/>
          <w:szCs w:val="22"/>
          <w:lang w:val="ro-RO"/>
        </w:rPr>
        <w:t>,</w:t>
      </w:r>
      <w:r w:rsidRPr="00C360EF">
        <w:rPr>
          <w:rFonts w:asciiTheme="minorHAnsi" w:eastAsia="Arial Unicode MS" w:hAnsiTheme="minorHAnsi" w:cstheme="minorHAnsi"/>
          <w:i/>
          <w:sz w:val="22"/>
          <w:szCs w:val="22"/>
          <w:lang w:val="ro-RO"/>
        </w:rPr>
        <w:t xml:space="preserve"> </w:t>
      </w:r>
      <w:r w:rsidRPr="00C360EF">
        <w:rPr>
          <w:rFonts w:asciiTheme="minorHAnsi" w:eastAsia="Arial Unicode MS" w:hAnsiTheme="minorHAnsi" w:cstheme="minorHAnsi"/>
          <w:sz w:val="22"/>
          <w:szCs w:val="22"/>
          <w:lang w:val="ro-RO"/>
        </w:rPr>
        <w:t xml:space="preserve"> telefon: </w:t>
      </w:r>
      <w:r w:rsidRPr="00575478">
        <w:rPr>
          <w:rFonts w:asciiTheme="minorHAnsi" w:eastAsia="Arial Unicode MS" w:hAnsiTheme="minorHAnsi" w:cstheme="minorHAnsi"/>
          <w:b/>
          <w:sz w:val="22"/>
          <w:szCs w:val="22"/>
          <w:lang w:val="ro-RO"/>
        </w:rPr>
        <w:t>0241/733108</w:t>
      </w:r>
      <w:r w:rsidRPr="00C360EF">
        <w:rPr>
          <w:rFonts w:asciiTheme="minorHAnsi" w:hAnsiTheme="minorHAnsi" w:cstheme="minorHAnsi"/>
          <w:noProof/>
          <w:sz w:val="22"/>
          <w:szCs w:val="22"/>
        </w:rPr>
        <w:t xml:space="preserve">, </w:t>
      </w:r>
      <w:r w:rsidRPr="00C360EF">
        <w:rPr>
          <w:rFonts w:asciiTheme="minorHAnsi" w:eastAsia="Arial Unicode MS" w:hAnsiTheme="minorHAnsi" w:cstheme="minorHAnsi"/>
          <w:sz w:val="22"/>
          <w:szCs w:val="22"/>
          <w:lang w:val="ro-RO"/>
        </w:rPr>
        <w:t xml:space="preserve">e-mail: </w:t>
      </w:r>
      <w:hyperlink r:id="rId8" w:history="1"/>
      <w:r w:rsidRPr="00B85C2E">
        <w:rPr>
          <w:rFonts w:asciiTheme="minorHAnsi" w:eastAsia="Arial Unicode MS" w:hAnsiTheme="minorHAnsi" w:cstheme="minorHAnsi"/>
          <w:b/>
          <w:sz w:val="22"/>
          <w:szCs w:val="22"/>
          <w:lang w:val="ro-RO"/>
        </w:rPr>
        <w:t>sc23august@yahoo.ro</w:t>
      </w:r>
      <w:r w:rsidRPr="00575478">
        <w:rPr>
          <w:rFonts w:asciiTheme="minorHAnsi" w:eastAsia="Arial Unicode MS" w:hAnsiTheme="minorHAnsi" w:cstheme="minorHAnsi"/>
          <w:b/>
          <w:i/>
          <w:sz w:val="22"/>
          <w:szCs w:val="22"/>
          <w:lang w:val="ro-RO"/>
        </w:rPr>
        <w:t>,</w:t>
      </w:r>
      <w:r w:rsidRPr="00690CC5">
        <w:rPr>
          <w:rFonts w:ascii="Calibri" w:eastAsia="Arial Unicode MS" w:hAnsi="Calibri" w:cs="Calibri"/>
          <w:sz w:val="22"/>
          <w:szCs w:val="22"/>
          <w:lang w:val="ro-RO"/>
        </w:rPr>
        <w:t xml:space="preserve"> cod de înregistrare fiscală</w:t>
      </w:r>
      <w:r>
        <w:rPr>
          <w:rFonts w:ascii="Calibri" w:eastAsia="Arial Unicode MS" w:hAnsi="Calibri" w:cs="Calibri"/>
          <w:sz w:val="22"/>
          <w:szCs w:val="22"/>
          <w:lang w:val="ro-RO"/>
        </w:rPr>
        <w:t xml:space="preserve"> </w:t>
      </w:r>
      <w:r w:rsidRPr="00575478">
        <w:rPr>
          <w:rFonts w:ascii="Calibri" w:eastAsia="Arial Unicode MS" w:hAnsi="Calibri" w:cs="Calibri"/>
          <w:b/>
          <w:sz w:val="22"/>
          <w:szCs w:val="22"/>
          <w:lang w:val="ro-RO"/>
        </w:rPr>
        <w:t>29178210</w:t>
      </w:r>
      <w:r w:rsidRPr="00575478">
        <w:rPr>
          <w:rFonts w:ascii="Calibri" w:eastAsia="Arial Unicode MS" w:hAnsi="Calibri" w:cs="Calibri"/>
          <w:sz w:val="22"/>
          <w:szCs w:val="22"/>
          <w:lang w:val="ro-RO"/>
        </w:rPr>
        <w:t>,</w:t>
      </w:r>
      <w:r w:rsidRPr="00690CC5">
        <w:rPr>
          <w:rFonts w:ascii="Calibri" w:eastAsia="Arial Unicode MS" w:hAnsi="Calibri" w:cs="Calibri"/>
          <w:sz w:val="22"/>
          <w:szCs w:val="22"/>
          <w:lang w:val="ro-RO"/>
        </w:rPr>
        <w:t xml:space="preserve"> cont IBAN nr.</w:t>
      </w:r>
      <w:r>
        <w:rPr>
          <w:rFonts w:ascii="Calibri" w:eastAsia="Arial Unicode MS" w:hAnsi="Calibri" w:cs="Calibri"/>
          <w:b/>
          <w:sz w:val="22"/>
          <w:szCs w:val="22"/>
          <w:lang w:val="ro-RO"/>
        </w:rPr>
        <w:t xml:space="preserve"> RO11TREZ23A650401600100X</w:t>
      </w:r>
      <w:r w:rsidRPr="00690CC5">
        <w:rPr>
          <w:rFonts w:ascii="Calibri" w:eastAsia="Arial Unicode MS" w:hAnsi="Calibri" w:cs="Calibri"/>
          <w:sz w:val="22"/>
          <w:szCs w:val="22"/>
          <w:lang w:val="ro-RO"/>
        </w:rPr>
        <w:t xml:space="preserve">, deschis la </w:t>
      </w:r>
      <w:r>
        <w:rPr>
          <w:rFonts w:ascii="Calibri" w:eastAsia="Arial Unicode MS" w:hAnsi="Calibri" w:cs="Calibri"/>
          <w:b/>
          <w:sz w:val="22"/>
          <w:szCs w:val="22"/>
          <w:lang w:val="ro-RO"/>
        </w:rPr>
        <w:t xml:space="preserve">Trezoreria Mangalia </w:t>
      </w:r>
      <w:r w:rsidRPr="00690CC5">
        <w:rPr>
          <w:rFonts w:ascii="Calibri" w:eastAsia="Arial Unicode MS" w:hAnsi="Calibri" w:cs="Calibri"/>
          <w:sz w:val="22"/>
          <w:szCs w:val="22"/>
          <w:lang w:val="ro-RO"/>
        </w:rPr>
        <w:t>reprezentată prin</w:t>
      </w:r>
      <w:r>
        <w:rPr>
          <w:rFonts w:ascii="Calibri" w:eastAsia="Arial Unicode MS" w:hAnsi="Calibri" w:cs="Calibri"/>
          <w:sz w:val="22"/>
          <w:szCs w:val="22"/>
          <w:lang w:val="ro-RO"/>
        </w:rPr>
        <w:t xml:space="preserve"> </w:t>
      </w:r>
      <w:r>
        <w:rPr>
          <w:rFonts w:ascii="Calibri" w:eastAsia="Arial Unicode MS" w:hAnsi="Calibri" w:cs="Calibri"/>
          <w:b/>
          <w:sz w:val="22"/>
          <w:szCs w:val="22"/>
          <w:lang w:val="ro-RO"/>
        </w:rPr>
        <w:t>David Valentina</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 xml:space="preserve">în calitate de </w:t>
      </w:r>
      <w:r>
        <w:rPr>
          <w:rFonts w:ascii="Calibri" w:hAnsi="Calibri" w:cs="Calibri"/>
          <w:b/>
          <w:sz w:val="22"/>
          <w:szCs w:val="22"/>
          <w:lang w:val="ro-RO"/>
        </w:rPr>
        <w:t xml:space="preserve">Director,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rsidR="00733031" w:rsidRPr="00E57D2D" w:rsidRDefault="00733031">
      <w:pPr>
        <w:pStyle w:val="yiv3961613445msonormal"/>
        <w:spacing w:before="0" w:after="0"/>
        <w:jc w:val="both"/>
        <w:rPr>
          <w:rFonts w:ascii="Calibri" w:hAnsi="Calibri" w:cs="Calibri"/>
          <w:sz w:val="22"/>
          <w:szCs w:val="22"/>
        </w:rPr>
      </w:pPr>
    </w:p>
    <w:p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rsidR="00733031" w:rsidRPr="00E57D2D" w:rsidRDefault="00733031">
      <w:pPr>
        <w:pStyle w:val="yiv3961613445msonormal"/>
        <w:spacing w:before="0" w:after="0"/>
        <w:jc w:val="both"/>
        <w:rPr>
          <w:rFonts w:ascii="Calibri" w:hAnsi="Calibri" w:cs="Calibri"/>
          <w:sz w:val="22"/>
          <w:szCs w:val="22"/>
        </w:rPr>
      </w:pPr>
    </w:p>
    <w:p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aşa cum sunt acestea numite în prezentul contract;</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preţul contractului - preţul plătibil furnizorului de către achizitor, în baza contractului, pentru îndeplinirea integrală şi corespunzătoare a tuturor obligaţiilor asumate prin contract;</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produse - echipamentele, maşinile, utilajele, orice alte bunuri, cuprinse în anexa/anexele la prezentul contract, pe care furnizorul se obligă, prin contract, să le furnizeze achizitorului;</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servicii - serviciile aferente livrării produselor, respectiv activităţile legate de furnizarea produselor, cum ar fi transportul, asigurarea, instalarea, punerea în funcţiune, asistenţa tehnică în perioada de garanţieşi orice alte asemenea obligaţii care revin furnizorului prin contract;</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origine - locul unde produsele au fost realizate, fabricate. Produsele sunt fabricate atunci când prin procesul de fabricare, prelucrare sau asamblare majoră şiesenţială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destinaţie finală - locul unde furnizorul are obligaţia de a furniza produsele;</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termenii comerciali de livrare vor fi interpretaţi conform INCOTERMS 2000 - Camera Internaţională de Comerţ (CIC);</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lastRenderedPageBreak/>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rsidR="00220258" w:rsidRPr="00E57D2D" w:rsidRDefault="00220258" w:rsidP="00E57D2D">
      <w:pPr>
        <w:pStyle w:val="NoSpacing"/>
        <w:rPr>
          <w:lang w:val="ro-RO"/>
        </w:rPr>
      </w:pPr>
    </w:p>
    <w:p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de</w:t>
      </w:r>
      <w:r w:rsidR="00657A8B">
        <w:rPr>
          <w:rFonts w:eastAsia="Calibri" w:cs="Calibri"/>
        </w:rPr>
        <w:t xml:space="preserve"> </w:t>
      </w:r>
      <w:r w:rsidR="00657A8B">
        <w:rPr>
          <w:rFonts w:eastAsia="Calibri" w:cs="Calibri"/>
          <w:b/>
        </w:rPr>
        <w:t>Echipamente IT</w:t>
      </w:r>
      <w:r w:rsidR="003A770E" w:rsidRPr="00E57D2D">
        <w:rPr>
          <w:rFonts w:cs="Calibri"/>
          <w:shd w:val="clear" w:color="auto" w:fill="FFFFFF" w:themeFill="background1"/>
        </w:rPr>
        <w:t>,</w:t>
      </w:r>
      <w:r w:rsidR="00657A8B">
        <w:rPr>
          <w:rFonts w:cs="Calibri"/>
          <w:shd w:val="clear" w:color="auto" w:fill="FFFFFF" w:themeFill="background1"/>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B028A2" w:rsidRPr="00E57D2D">
        <w:rPr>
          <w:rFonts w:cs="Calibri"/>
          <w:i/>
          <w:iCs/>
        </w:rPr>
        <w:t>Cererea</w:t>
      </w:r>
      <w:r w:rsidR="00B028A2" w:rsidRPr="00E57D2D">
        <w:rPr>
          <w:rFonts w:cs="Calibri"/>
          <w:i/>
        </w:rPr>
        <w:t xml:space="preserve"> de Ofertă</w:t>
      </w:r>
      <w:r w:rsidR="005B785D" w:rsidRPr="00E57D2D">
        <w:rPr>
          <w:rFonts w:cs="Calibri"/>
          <w:i/>
          <w:shd w:val="clear" w:color="auto" w:fill="D3D3D3"/>
        </w:rPr>
        <w:t>[</w:t>
      </w:r>
      <w:r w:rsidR="005B785D" w:rsidRPr="00E57D2D">
        <w:rPr>
          <w:rFonts w:cs="Calibri"/>
          <w:i/>
          <w:shd w:val="clear" w:color="auto" w:fill="D9D9D9" w:themeFill="background1" w:themeFillShade="D9"/>
        </w:rPr>
        <w:t>se alege, după caz</w:t>
      </w:r>
      <w:r w:rsidR="005B785D" w:rsidRPr="00E57D2D">
        <w:rPr>
          <w:rFonts w:cs="Calibri"/>
          <w:i/>
          <w:shd w:val="clear" w:color="auto" w:fill="D3D3D3"/>
        </w:rPr>
        <w:t>]</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 </w:t>
      </w:r>
      <w:r w:rsidR="00033ACD" w:rsidRPr="00E57D2D">
        <w:rPr>
          <w:rFonts w:cs="Calibri"/>
          <w:i/>
          <w:shd w:val="clear" w:color="auto" w:fill="D3D3D3"/>
        </w:rPr>
        <w:t>[</w:t>
      </w:r>
      <w:r w:rsidR="00033ACD" w:rsidRPr="00E57D2D">
        <w:rPr>
          <w:rFonts w:cs="Calibri"/>
          <w:i/>
          <w:shd w:val="clear" w:color="auto" w:fill="D9D9D9" w:themeFill="background1" w:themeFillShade="D9"/>
        </w:rPr>
        <w:t>se inserează</w:t>
      </w:r>
      <w:r w:rsidR="00033ACD" w:rsidRPr="00E57D2D">
        <w:rPr>
          <w:rFonts w:cs="Calibri"/>
          <w:i/>
          <w:shd w:val="clear" w:color="auto" w:fill="D3D3D3"/>
        </w:rPr>
        <w:t>]</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Pr="00E57D2D">
        <w:rPr>
          <w:rFonts w:cs="Calibri"/>
        </w:rPr>
        <w:t>.</w:t>
      </w:r>
    </w:p>
    <w:p w:rsidR="009A04FB" w:rsidRPr="00E57D2D" w:rsidRDefault="009A04FB" w:rsidP="009A04FB">
      <w:pPr>
        <w:shd w:val="clear" w:color="auto" w:fill="FFFFFF"/>
        <w:spacing w:after="0" w:line="240" w:lineRule="auto"/>
        <w:jc w:val="both"/>
        <w:rPr>
          <w:rFonts w:cs="Calibri"/>
        </w:rPr>
      </w:pPr>
    </w:p>
    <w:p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731397" w:rsidRPr="00E57D2D">
        <w:rPr>
          <w:rFonts w:cs="Calibri"/>
        </w:rPr>
        <w:t xml:space="preserve">care fac obiectul prezentului </w:t>
      </w:r>
      <w:r w:rsidR="00731397" w:rsidRPr="00E57D2D">
        <w:rPr>
          <w:rFonts w:cs="Calibri"/>
          <w:i/>
        </w:rPr>
        <w:t>Contract</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3E77E8">
        <w:rPr>
          <w:rFonts w:cs="Calibri"/>
        </w:rPr>
        <w:t>legale</w:t>
      </w:r>
      <w:r w:rsidR="0057760E">
        <w:rPr>
          <w:rFonts w:cs="Calibri"/>
          <w:i/>
          <w:iCs/>
          <w:highlight w:val="lightGray"/>
        </w:rPr>
        <w:t>[</w:t>
      </w:r>
      <w:r w:rsidR="0057760E" w:rsidRPr="008F6C14">
        <w:rPr>
          <w:rFonts w:asciiTheme="majorHAnsi" w:hAnsiTheme="majorHAnsi" w:cstheme="minorHAnsi"/>
          <w:i/>
          <w:iCs/>
          <w:highlight w:val="lightGray"/>
        </w:rPr>
        <w:t>5%, 9% sau 19%, dupa cum este aplicabil</w:t>
      </w:r>
      <w:r w:rsidR="0057760E" w:rsidRPr="002F4FB2">
        <w:rPr>
          <w:rFonts w:cs="Calibri"/>
          <w:i/>
          <w:iCs/>
          <w:highlight w:val="lightGray"/>
        </w:rPr>
        <w:t>]</w:t>
      </w:r>
      <w:r w:rsidR="0057760E" w:rsidRPr="003E77E8">
        <w:rPr>
          <w:rFonts w:cs="Calibri"/>
        </w:rPr>
        <w:t>.</w:t>
      </w:r>
    </w:p>
    <w:p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rsidR="009A04FB" w:rsidRPr="00E57D2D" w:rsidRDefault="009A04FB" w:rsidP="009A04FB">
      <w:pPr>
        <w:tabs>
          <w:tab w:val="left" w:pos="851"/>
        </w:tabs>
        <w:spacing w:after="0" w:line="240" w:lineRule="auto"/>
        <w:jc w:val="both"/>
        <w:rPr>
          <w:rFonts w:cs="Calibri"/>
        </w:rPr>
      </w:pPr>
    </w:p>
    <w:p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rsidR="00733031" w:rsidRPr="00E57D2D" w:rsidRDefault="00731397" w:rsidP="00BE2969">
      <w:pPr>
        <w:pStyle w:val="DefaultText2"/>
        <w:ind w:left="720"/>
        <w:jc w:val="both"/>
        <w:rPr>
          <w:rFonts w:ascii="Calibri"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începând de la data intrării în vigoare a prezentului </w:t>
      </w:r>
      <w:r w:rsidRPr="00E57D2D">
        <w:rPr>
          <w:rFonts w:ascii="Calibri" w:hAnsi="Calibri" w:cs="Calibri"/>
          <w:i/>
          <w:sz w:val="22"/>
          <w:szCs w:val="22"/>
          <w:lang w:val="ro-RO"/>
        </w:rPr>
        <w:t>Contract</w:t>
      </w:r>
      <w:r w:rsidRPr="00E57D2D">
        <w:rPr>
          <w:rFonts w:ascii="Calibri" w:hAnsi="Calibri" w:cs="Calibri"/>
          <w:sz w:val="22"/>
          <w:szCs w:val="22"/>
          <w:lang w:val="ro-RO"/>
        </w:rPr>
        <w:t>, respectiv din</w:t>
      </w:r>
      <w:r w:rsidR="00ED4F5C" w:rsidRPr="00E57D2D">
        <w:rPr>
          <w:rFonts w:ascii="Calibri" w:hAnsi="Calibri" w:cs="Calibri"/>
          <w:sz w:val="22"/>
          <w:szCs w:val="22"/>
          <w:lang w:val="ro-RO"/>
        </w:rPr>
        <w:t xml:space="preserve"> data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intrării în vigoare a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hAnsi="Calibri" w:cs="Calibri"/>
          <w:sz w:val="22"/>
          <w:szCs w:val="22"/>
          <w:lang w:val="ro-RO"/>
        </w:rPr>
        <w:t xml:space="preserve">până </w:t>
      </w:r>
      <w:r w:rsidR="00ED4F5C" w:rsidRPr="00E57D2D">
        <w:rPr>
          <w:rFonts w:ascii="Calibri" w:hAnsi="Calibri" w:cs="Calibri"/>
          <w:sz w:val="22"/>
          <w:szCs w:val="22"/>
          <w:lang w:val="ro-RO"/>
        </w:rPr>
        <w:t xml:space="preserve">pe </w:t>
      </w:r>
      <w:r w:rsidRPr="00E57D2D">
        <w:rPr>
          <w:rFonts w:ascii="Calibri" w:hAnsi="Calibri" w:cs="Calibri"/>
          <w:sz w:val="22"/>
          <w:szCs w:val="22"/>
          <w:lang w:val="ro-RO"/>
        </w:rPr>
        <w:t>data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încetării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w:t>
      </w:r>
    </w:p>
    <w:p w:rsidR="00733031" w:rsidRPr="00E57D2D" w:rsidRDefault="00733031" w:rsidP="009A04FB">
      <w:pPr>
        <w:autoSpaceDE w:val="0"/>
        <w:spacing w:after="0" w:line="240" w:lineRule="auto"/>
        <w:jc w:val="both"/>
        <w:rPr>
          <w:rFonts w:cs="Calibri"/>
          <w:b/>
          <w:bCs/>
        </w:rPr>
      </w:pPr>
    </w:p>
    <w:p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Anunțul publicitar/Cererea</w:t>
      </w:r>
      <w:r w:rsidR="007E20D3" w:rsidRPr="00E57D2D">
        <w:rPr>
          <w:rFonts w:asciiTheme="minorHAnsi" w:hAnsiTheme="minorHAnsi" w:cstheme="minorHAnsi"/>
          <w:i/>
          <w:sz w:val="22"/>
          <w:szCs w:val="22"/>
        </w:rPr>
        <w:t xml:space="preserve"> de Ofertă  </w:t>
      </w:r>
      <w:r w:rsidR="007E20D3" w:rsidRPr="00E57D2D">
        <w:rPr>
          <w:rFonts w:asciiTheme="minorHAnsi" w:hAnsiTheme="minorHAnsi" w:cstheme="minorHAnsi"/>
          <w:i/>
          <w:sz w:val="22"/>
          <w:szCs w:val="22"/>
          <w:shd w:val="clear" w:color="auto" w:fill="D3D3D3"/>
        </w:rPr>
        <w:t>[</w:t>
      </w:r>
      <w:r w:rsidR="007E20D3" w:rsidRPr="00E57D2D">
        <w:rPr>
          <w:rFonts w:asciiTheme="minorHAnsi" w:hAnsiTheme="minorHAnsi" w:cstheme="minorHAnsi"/>
          <w:i/>
          <w:sz w:val="22"/>
          <w:szCs w:val="22"/>
          <w:shd w:val="clear" w:color="auto" w:fill="D9D9D9" w:themeFill="background1" w:themeFillShade="D9"/>
        </w:rPr>
        <w:t>se alege, după caz</w:t>
      </w:r>
      <w:r w:rsidR="007E20D3" w:rsidRPr="00E57D2D">
        <w:rPr>
          <w:rFonts w:asciiTheme="minorHAnsi" w:hAnsiTheme="minorHAnsi" w:cstheme="minorHAnsi"/>
          <w:i/>
          <w:sz w:val="22"/>
          <w:szCs w:val="22"/>
          <w:shd w:val="clear" w:color="auto" w:fill="D3D3D3"/>
        </w:rPr>
        <w:t>]</w:t>
      </w:r>
      <w:r w:rsidRPr="00E57D2D">
        <w:rPr>
          <w:rFonts w:asciiTheme="minorHAnsi" w:hAnsiTheme="minorHAnsi" w:cstheme="minorHAnsi"/>
          <w:i/>
          <w:color w:val="auto"/>
          <w:sz w:val="22"/>
          <w:szCs w:val="22"/>
        </w:rPr>
        <w:t xml:space="preserve">, </w:t>
      </w:r>
    </w:p>
    <w:p w:rsidR="00731397"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r w:rsidRPr="00E57D2D">
        <w:rPr>
          <w:rFonts w:ascii="Calibri" w:hAnsi="Calibri" w:cs="Calibri"/>
          <w:i/>
          <w:color w:val="auto"/>
          <w:sz w:val="22"/>
          <w:szCs w:val="22"/>
        </w:rPr>
        <w:t>,</w:t>
      </w:r>
    </w:p>
    <w:p w:rsidR="007211B0" w:rsidRDefault="007211B0" w:rsidP="007211B0">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 xml:space="preserve">Anexa </w:t>
      </w:r>
      <w:r>
        <w:rPr>
          <w:rFonts w:ascii="Calibri" w:hAnsi="Calibri" w:cs="Calibri"/>
          <w:iCs/>
          <w:color w:val="auto"/>
          <w:sz w:val="22"/>
          <w:szCs w:val="22"/>
        </w:rPr>
        <w:t>3</w:t>
      </w:r>
      <w:r w:rsidRPr="00E57D2D">
        <w:rPr>
          <w:rFonts w:ascii="Calibri" w:hAnsi="Calibri" w:cs="Calibri"/>
          <w:i/>
          <w:color w:val="auto"/>
          <w:sz w:val="22"/>
          <w:szCs w:val="22"/>
        </w:rPr>
        <w:t xml:space="preserve"> </w:t>
      </w:r>
      <w:r>
        <w:rPr>
          <w:rFonts w:ascii="Calibri" w:hAnsi="Calibri" w:cs="Calibri"/>
          <w:i/>
          <w:color w:val="auto"/>
          <w:sz w:val="22"/>
          <w:szCs w:val="22"/>
        </w:rPr>
        <w:t>–</w:t>
      </w:r>
      <w:r w:rsidRPr="00E57D2D">
        <w:rPr>
          <w:rFonts w:ascii="Calibri" w:hAnsi="Calibri" w:cs="Calibri"/>
          <w:i/>
          <w:color w:val="auto"/>
          <w:sz w:val="22"/>
          <w:szCs w:val="22"/>
        </w:rPr>
        <w:t xml:space="preserve"> </w:t>
      </w:r>
      <w:r>
        <w:rPr>
          <w:rFonts w:ascii="Calibri" w:hAnsi="Calibri" w:cs="Calibri"/>
          <w:i/>
          <w:color w:val="auto"/>
          <w:sz w:val="22"/>
          <w:szCs w:val="22"/>
        </w:rPr>
        <w:t>Proces verbal de receptie,</w:t>
      </w:r>
    </w:p>
    <w:p w:rsidR="007211B0" w:rsidRPr="00E57D2D" w:rsidRDefault="007211B0" w:rsidP="007211B0">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 xml:space="preserve">Anexa </w:t>
      </w:r>
      <w:r>
        <w:rPr>
          <w:rFonts w:ascii="Calibri" w:hAnsi="Calibri" w:cs="Calibri"/>
          <w:iCs/>
          <w:color w:val="auto"/>
          <w:sz w:val="22"/>
          <w:szCs w:val="22"/>
        </w:rPr>
        <w:t>4</w:t>
      </w:r>
      <w:r w:rsidRPr="00E57D2D">
        <w:rPr>
          <w:rFonts w:ascii="Calibri" w:hAnsi="Calibri" w:cs="Calibri"/>
          <w:i/>
          <w:color w:val="auto"/>
          <w:sz w:val="22"/>
          <w:szCs w:val="22"/>
        </w:rPr>
        <w:t xml:space="preserve"> </w:t>
      </w:r>
      <w:r>
        <w:rPr>
          <w:rFonts w:ascii="Calibri" w:hAnsi="Calibri" w:cs="Calibri"/>
          <w:i/>
          <w:color w:val="auto"/>
          <w:sz w:val="22"/>
          <w:szCs w:val="22"/>
        </w:rPr>
        <w:t>–</w:t>
      </w:r>
      <w:r w:rsidRPr="00E57D2D">
        <w:rPr>
          <w:rFonts w:ascii="Calibri" w:hAnsi="Calibri" w:cs="Calibri"/>
          <w:i/>
          <w:color w:val="auto"/>
          <w:sz w:val="22"/>
          <w:szCs w:val="22"/>
        </w:rPr>
        <w:t xml:space="preserve"> </w:t>
      </w:r>
      <w:r>
        <w:rPr>
          <w:rFonts w:ascii="Calibri" w:hAnsi="Calibri" w:cs="Calibri"/>
          <w:i/>
          <w:color w:val="auto"/>
          <w:sz w:val="22"/>
          <w:szCs w:val="22"/>
        </w:rPr>
        <w:t>Factura fiscala.</w:t>
      </w:r>
    </w:p>
    <w:p w:rsidR="00731397" w:rsidRPr="00E57D2D" w:rsidRDefault="00731397" w:rsidP="00731397">
      <w:pPr>
        <w:shd w:val="clear" w:color="auto" w:fill="FFFFFF" w:themeFill="background1"/>
        <w:spacing w:after="0" w:line="240" w:lineRule="auto"/>
        <w:ind w:left="720"/>
        <w:jc w:val="both"/>
        <w:rPr>
          <w:rFonts w:cs="Calibri"/>
          <w:i/>
          <w:shd w:val="clear" w:color="auto" w:fill="C0C0C0"/>
        </w:rPr>
      </w:pPr>
      <w:r w:rsidRPr="00E57D2D">
        <w:rPr>
          <w:rFonts w:cs="Calibri"/>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furnizorului</w:t>
      </w:r>
    </w:p>
    <w:p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furnizeze produsele la standardele şi</w:t>
      </w:r>
      <w:r w:rsidR="007211B0">
        <w:rPr>
          <w:rFonts w:asciiTheme="minorHAnsi" w:hAnsiTheme="minorHAnsi" w:cstheme="minorHAnsi"/>
        </w:rPr>
        <w:t xml:space="preserve"> </w:t>
      </w:r>
      <w:r w:rsidRPr="00E57D2D">
        <w:rPr>
          <w:rFonts w:asciiTheme="minorHAnsi" w:hAnsiTheme="minorHAnsi" w:cstheme="minorHAnsi"/>
        </w:rPr>
        <w:t>performanţele prezentate în oferta sa.</w:t>
      </w:r>
    </w:p>
    <w:p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w:t>
      </w:r>
      <w:r w:rsidR="00A5061C">
        <w:rPr>
          <w:rFonts w:asciiTheme="minorHAnsi" w:hAnsiTheme="minorHAnsi" w:cstheme="minorHAnsi"/>
        </w:rPr>
        <w:t xml:space="preserve"> (10 zile)</w:t>
      </w:r>
      <w:r w:rsidRPr="00E57D2D">
        <w:rPr>
          <w:rFonts w:asciiTheme="minorHAnsi" w:hAnsiTheme="minorHAnsi" w:cstheme="minorHAnsi"/>
        </w:rPr>
        <w:t>, în conformitate cu prevederile prezentului contract.</w:t>
      </w:r>
    </w:p>
    <w:p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lastRenderedPageBreak/>
        <w:t>reclamaţiişiacţiuni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şi cheltuieli de orice natură, aferente, cu excepţiasituaţiei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transmită factura fiscală </w:t>
      </w:r>
      <w:r w:rsidR="00A4519D" w:rsidRPr="00E57D2D">
        <w:rPr>
          <w:rFonts w:asciiTheme="minorHAnsi" w:hAnsiTheme="minorHAnsi" w:cstheme="minorHAnsi"/>
        </w:rPr>
        <w:t>pentru</w:t>
      </w:r>
      <w:r w:rsidRPr="00E57D2D">
        <w:rPr>
          <w:rFonts w:asciiTheme="minorHAnsi" w:hAnsiTheme="minorHAnsi" w:cstheme="minorHAnsi"/>
        </w:rPr>
        <w:t xml:space="preserve"> bunurile livrate în conformitate cu prezentul contract.</w:t>
      </w:r>
    </w:p>
    <w:p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asigura complet produsele furnizate prin contract împotriva pierderii sau deteriorării neprevăzute la fabricare, transport, depozitare şi livrare.</w:t>
      </w:r>
    </w:p>
    <w:p w:rsidR="00C85943" w:rsidRPr="00E57D2D"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rsidR="004B31C6" w:rsidRPr="00E57D2D" w:rsidRDefault="004B31C6" w:rsidP="00E57D2D">
      <w:pPr>
        <w:pStyle w:val="NoSpacing"/>
        <w:rPr>
          <w:lang w:val="ro-RO"/>
        </w:rPr>
      </w:pPr>
    </w:p>
    <w:p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achizitorului</w:t>
      </w:r>
    </w:p>
    <w:p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recepţioneze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rsidR="00FE5B06"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plătească preţul produselor către furnizor în termenul convenit, astfel: plata se va efectua in lei, după recepţia produselor la </w:t>
      </w:r>
      <w:r w:rsidR="00956367" w:rsidRPr="00E57D2D">
        <w:rPr>
          <w:rFonts w:asciiTheme="minorHAnsi" w:hAnsiTheme="minorHAnsi" w:cstheme="minorHAnsi"/>
        </w:rPr>
        <w:t>destinația finală</w:t>
      </w:r>
      <w:r w:rsidRPr="00E57D2D">
        <w:rPr>
          <w:rFonts w:asciiTheme="minorHAnsi" w:hAnsiTheme="minorHAnsi" w:cstheme="minorHAnsi"/>
        </w:rPr>
        <w:t xml:space="preserve">, in termen maxim de </w:t>
      </w:r>
      <w:r w:rsidR="007211B0">
        <w:rPr>
          <w:rFonts w:asciiTheme="minorHAnsi" w:hAnsiTheme="minorHAnsi" w:cstheme="minorHAnsi"/>
        </w:rPr>
        <w:t xml:space="preserve">30 </w:t>
      </w:r>
      <w:r w:rsidRPr="00E57D2D">
        <w:rPr>
          <w:rFonts w:asciiTheme="minorHAnsi" w:hAnsiTheme="minorHAnsi" w:cstheme="minorHAnsi"/>
        </w:rPr>
        <w:t>zile de la data primirii facturii de catre achizitor. Plata se efectuează cu ordin de plată în contul de trezorerie al furnizorului pe baza facturii si a procesului verbal de recep</w:t>
      </w:r>
      <w:r w:rsidR="00956367" w:rsidRPr="00E57D2D">
        <w:rPr>
          <w:rFonts w:asciiTheme="minorHAnsi" w:hAnsiTheme="minorHAnsi" w:cstheme="minorHAnsi"/>
        </w:rPr>
        <w:t>ț</w:t>
      </w:r>
      <w:r w:rsidRPr="00E57D2D">
        <w:rPr>
          <w:rFonts w:asciiTheme="minorHAnsi" w:hAnsiTheme="minorHAnsi" w:cstheme="minorHAnsi"/>
        </w:rPr>
        <w:t>ie a produselor.</w:t>
      </w:r>
    </w:p>
    <w:p w:rsidR="00C85943" w:rsidRPr="00E57D2D" w:rsidRDefault="00C85943"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Achizitorul</w:t>
      </w:r>
      <w:r w:rsidRPr="00E57D2D">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rsidR="00FE5B06" w:rsidRPr="00E57D2D" w:rsidRDefault="00FE5B06" w:rsidP="00E57D2D">
      <w:pPr>
        <w:pStyle w:val="NoSpacing"/>
        <w:rPr>
          <w:lang w:val="ro-RO"/>
        </w:rPr>
      </w:pPr>
    </w:p>
    <w:p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Sancţiuni pentru neîndeplinirea culpabilă a obligaţiilor</w:t>
      </w:r>
    </w:p>
    <w:p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 cazul în care, din vina sa exclusivă, furnizorul nu reuşeşte să-şi îndeplinească obligaţiile asumate, atunci achizitorul are dreptul de a scădea, ca penalităţi, o sumă echivalentă cu o cotă procentuală de</w:t>
      </w:r>
      <w:r w:rsidR="007211B0">
        <w:rPr>
          <w:rFonts w:asciiTheme="minorHAnsi" w:hAnsiTheme="minorHAnsi" w:cstheme="minorHAnsi"/>
        </w:rPr>
        <w:t xml:space="preserve"> 0,01 </w:t>
      </w:r>
      <w:r w:rsidRPr="00E57D2D">
        <w:rPr>
          <w:rFonts w:asciiTheme="minorHAnsi" w:hAnsiTheme="minorHAnsi" w:cstheme="minorHAnsi"/>
        </w:rPr>
        <w:t>% pe zi din preţul contractului.</w:t>
      </w:r>
    </w:p>
    <w:p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 cazul în care achizitorul nu îşi onorează obligaţiile în termen de 28 de zile de la expirarea perioadei convenite, atunci acestuia îi revine obligaţia de a plăti, ca penalităţi, o sumă echivalentă cu o cotă procentuală de</w:t>
      </w:r>
      <w:r w:rsidR="007211B0">
        <w:rPr>
          <w:rFonts w:asciiTheme="minorHAnsi" w:hAnsiTheme="minorHAnsi" w:cstheme="minorHAnsi"/>
        </w:rPr>
        <w:t xml:space="preserve"> 0,01 </w:t>
      </w:r>
      <w:r w:rsidRPr="00E57D2D">
        <w:rPr>
          <w:rFonts w:asciiTheme="minorHAnsi" w:hAnsiTheme="minorHAnsi" w:cstheme="minorHAnsi"/>
        </w:rPr>
        <w:t>% pe zi din plata neefectuată.</w:t>
      </w:r>
    </w:p>
    <w:p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0A68F0" w:rsidRPr="00E57D2D" w:rsidRDefault="000A68F0" w:rsidP="00E57D2D">
      <w:pPr>
        <w:pStyle w:val="NoSpacing"/>
        <w:rPr>
          <w:lang w:val="ro-RO"/>
        </w:rPr>
      </w:pPr>
    </w:p>
    <w:p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Recepţie, inspecţiişi teste</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Inspecţiileşi/sau testările la care vor fi supuse produsele, cât şicondiţiile de îndeplinire a recepţiei calitative se vor efectua prin verificarea conformităţii cu specificaţiile din oferta acceptată.</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Achizitorul are obligaţia de a notifica, în scris, furnizorului identitatea reprezentanţilor săi împuterniciţi pentru efectuarea recepţiei, testelor şiinspecţiilor.</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Inspecţiileşi testele din cadrul recepţiei calitative se vor face la destinaţia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obligaţia asumării garanţiilor sau altor obligaţii prevăzute în contract.</w:t>
      </w:r>
    </w:p>
    <w:p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Furnizorul va transmite achizitorului documentele care însoţesc produsele după cum urmează: </w:t>
      </w:r>
      <w:r w:rsidR="007211B0">
        <w:rPr>
          <w:rFonts w:asciiTheme="minorHAnsi" w:hAnsiTheme="minorHAnsi" w:cstheme="minorHAnsi"/>
        </w:rPr>
        <w:t>instructiuni/manual de utilizare</w:t>
      </w:r>
      <w:r w:rsidRPr="00E57D2D">
        <w:rPr>
          <w:rFonts w:asciiTheme="minorHAnsi" w:hAnsiTheme="minorHAnsi" w:cstheme="minorHAnsi"/>
        </w:rPr>
        <w:t xml:space="preserve"> și certificatul de garanţie acordat de producător pentru fiecare produs.</w:t>
      </w:r>
    </w:p>
    <w:p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rsidR="005107C7" w:rsidRPr="00E57D2D"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Livrarea produselor se consideră încheiată în momentul în care sunt îndeplinite prevederile clauzelor de recepţie a produselor.</w:t>
      </w:r>
    </w:p>
    <w:p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Ambalare şi marcare</w:t>
      </w:r>
    </w:p>
    <w:p w:rsidR="002E0ADE" w:rsidRPr="00E57D2D" w:rsidRDefault="002C58A3"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F</w:t>
      </w:r>
      <w:r w:rsidR="002E0ADE" w:rsidRPr="00E57D2D">
        <w:rPr>
          <w:rFonts w:asciiTheme="minorHAnsi" w:hAnsiTheme="minorHAnsi" w:cstheme="minorHAnsi"/>
        </w:rPr>
        <w:t>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În cazul ambalării greutăţilorşi volumelor în cutii, furnizorul va lua în considerare, unde este cazul, distanţa mare până la destinaţia finală a produselor şiabsenţafacilităţilor de manipulare grea în toate punctele de tranzit.</w:t>
      </w:r>
    </w:p>
    <w:p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Ambalarea, marcarea şidocumentaţia din interiorul sau din afara pachetelor vor respecta strict cerinţele ce vor fi special prevăzute în contract, inclusiv cerinţele suplimentare.</w:t>
      </w:r>
    </w:p>
    <w:p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rsidR="00162683" w:rsidRPr="00E57D2D" w:rsidRDefault="00162683" w:rsidP="00E57D2D">
      <w:pPr>
        <w:pStyle w:val="NoSpacing"/>
        <w:rPr>
          <w:lang w:val="ro-RO"/>
        </w:rPr>
      </w:pPr>
    </w:p>
    <w:p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Perioada de garanţie acordată produselor</w:t>
      </w:r>
    </w:p>
    <w:p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garanta că produsele furnizate prin contract sunt noi, nefolosite, de ultimă generaţieşi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garanţie acordată produselor de către furnizor este cea declarată în </w:t>
      </w:r>
      <w:r w:rsidR="00215F5F" w:rsidRPr="00E57D2D">
        <w:rPr>
          <w:rFonts w:asciiTheme="minorHAnsi" w:hAnsiTheme="minorHAnsi" w:cstheme="minorHAnsi"/>
        </w:rPr>
        <w:t>oferta acceptată,</w:t>
      </w:r>
      <w:r w:rsidRPr="00E57D2D">
        <w:rPr>
          <w:rFonts w:asciiTheme="minorHAnsi" w:hAnsiTheme="minorHAnsi" w:cstheme="minorHAnsi"/>
        </w:rPr>
        <w:t xml:space="preserve"> respectiv </w:t>
      </w:r>
      <w:r w:rsidR="00215F5F" w:rsidRPr="00E57D2D">
        <w:rPr>
          <w:rFonts w:asciiTheme="minorHAnsi" w:hAnsiTheme="minorHAnsi" w:cstheme="minorHAnsi"/>
        </w:rPr>
        <w:t xml:space="preserve">de </w:t>
      </w:r>
      <w:r w:rsidR="00215F5F" w:rsidRPr="00E57D2D">
        <w:rPr>
          <w:rFonts w:eastAsia="Arial Unicode MS" w:cs="Calibri"/>
          <w:i/>
          <w:shd w:val="clear" w:color="auto" w:fill="D9D9D9" w:themeFill="background1" w:themeFillShade="D9"/>
        </w:rPr>
        <w:t>[număr luni/ani în cifre]</w:t>
      </w:r>
      <w:r w:rsidR="00215F5F" w:rsidRPr="00E57D2D">
        <w:rPr>
          <w:rFonts w:eastAsia="Arial Unicode MS" w:cs="Calibri"/>
        </w:rPr>
        <w:t>luni/</w:t>
      </w:r>
      <w:r w:rsidRPr="00E57D2D">
        <w:rPr>
          <w:rFonts w:asciiTheme="minorHAnsi" w:hAnsiTheme="minorHAnsi" w:cstheme="minorHAnsi"/>
        </w:rPr>
        <w:t>ani.</w:t>
      </w:r>
    </w:p>
    <w:p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Perioada de garanţie a produselor începe cu data recepţiei efectuate după livrarea acestora la destinaţia finală.</w:t>
      </w:r>
    </w:p>
    <w:p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Achizitorul are dreptul de a notifica imediat furnizorului, în scris, orice plângere sau reclamaţie ce apare în conformitate cu această garanţie.</w:t>
      </w:r>
    </w:p>
    <w:p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La primirea unei astfel de notificări, furnizorul are obligaţia de a remedia defecţiunea sau de a înlocui produsul în termen de </w:t>
      </w:r>
      <w:r w:rsidR="007211B0">
        <w:rPr>
          <w:rFonts w:asciiTheme="minorHAnsi" w:hAnsiTheme="minorHAnsi" w:cstheme="minorHAnsi"/>
        </w:rPr>
        <w:t xml:space="preserve">5 </w:t>
      </w:r>
      <w:r w:rsidRPr="00E57D2D">
        <w:rPr>
          <w:rFonts w:asciiTheme="minorHAnsi" w:hAnsiTheme="minorHAnsi" w:cstheme="minorHAnsi"/>
        </w:rPr>
        <w:t>zile lucrătoare de la data notificării, fără costuri suplimentare pentru achizitor. Produsele care, în timpul perioadei de garanţie, le înlocuiesc pe cele defecte beneficiază de o nouă perioadă de garanţie care curge de la data înlocuirii produsului.</w:t>
      </w:r>
    </w:p>
    <w:p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Dacă furnizorul, după ce a fost înştiinţat, nu reuşeşte să remedieze defectul în perioada de timp menţionată</w:t>
      </w:r>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şi pe cheltuiala furnizorului şi fără a aduce niciun prejudiciu oricăror alte drepturi pe care achizitorul le poate avea faţă de furnizor prin contract.</w:t>
      </w:r>
    </w:p>
    <w:p w:rsidR="005107C4" w:rsidRPr="00E57D2D" w:rsidRDefault="005107C4" w:rsidP="00E57D2D">
      <w:pPr>
        <w:pStyle w:val="NoSpacing"/>
        <w:rPr>
          <w:lang w:val="ro-RO"/>
        </w:rPr>
      </w:pPr>
    </w:p>
    <w:p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Ajustarea preţului contractului</w:t>
      </w:r>
    </w:p>
    <w:p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Pentru produsele livrate, plăţile datorate de achizitor furnizorului sunt cele declarate în oferta acceptată, anexă la contract, și indicate in Art. 3 al contractului.</w:t>
      </w:r>
    </w:p>
    <w:p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Preţul contractului nu se ajustează.</w:t>
      </w:r>
    </w:p>
    <w:p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Forţa majoră</w:t>
      </w:r>
    </w:p>
    <w:p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Forţa majoră este constatată de o autoritate competentă.</w:t>
      </w:r>
    </w:p>
    <w:p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Forţa majoră exonerează părţile contractante de îndeplinirea obligaţiilor asumate prin prezentul contract, pe toată perioada în care aceasta acţionează.</w:t>
      </w:r>
    </w:p>
    <w:p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Îndeplinirea contractului va fi suspendată în perioada de acţiune a forţei majore, dar fără a prejudicia drepturile ce li se cuveneau părţilor până la apariţia acesteia.</w:t>
      </w:r>
    </w:p>
    <w:p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322049" w:rsidRPr="00E57D2D" w:rsidRDefault="00322049" w:rsidP="00E57D2D">
      <w:pPr>
        <w:pStyle w:val="NoSpacing"/>
        <w:rPr>
          <w:lang w:val="ro-RO"/>
        </w:rPr>
      </w:pPr>
    </w:p>
    <w:p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Soluţionarea litigiilor</w:t>
      </w:r>
    </w:p>
    <w:p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rsidR="00F418AB" w:rsidRPr="00E57D2D" w:rsidRDefault="00F418AB" w:rsidP="00E57D2D">
      <w:pPr>
        <w:pStyle w:val="NoSpacing"/>
        <w:rPr>
          <w:lang w:val="ro-RO"/>
        </w:rPr>
      </w:pPr>
    </w:p>
    <w:p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rsidR="002C01F5" w:rsidRPr="00E57D2D" w:rsidRDefault="002C01F5" w:rsidP="00E57D2D">
      <w:pPr>
        <w:pStyle w:val="NoSpacing"/>
        <w:rPr>
          <w:lang w:val="ro-RO"/>
        </w:rPr>
      </w:pPr>
    </w:p>
    <w:p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lastRenderedPageBreak/>
        <w:t>Orice comunicare între părţi, referitoare la îndeplinirea prezentului contract, trebuie să fie transmisă în scris.</w:t>
      </w:r>
    </w:p>
    <w:p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document scris trebuie înregistrat atât în momentul transmiterii, cât şi în momentul primirii.</w:t>
      </w:r>
    </w:p>
    <w:p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dintre părţi se pot face şi prin telefon, fax sau e-mail, cu condiţia confirmării în scris a primirii comunicării.</w:t>
      </w:r>
    </w:p>
    <w:p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referitoare la prezentul contract vor fi adresate la urmatoarele coordonate:</w:t>
      </w:r>
    </w:p>
    <w:p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rsidR="007211B0" w:rsidRPr="00E57D2D" w:rsidRDefault="007211B0" w:rsidP="007211B0">
      <w:pPr>
        <w:autoSpaceDE w:val="0"/>
        <w:adjustRightInd w:val="0"/>
        <w:spacing w:after="0"/>
        <w:ind w:left="1080" w:firstLine="720"/>
        <w:jc w:val="both"/>
        <w:rPr>
          <w:rFonts w:eastAsia="Arial Unicode MS" w:cs="Calibri"/>
        </w:rPr>
      </w:pPr>
      <w:r>
        <w:rPr>
          <w:rFonts w:eastAsia="Arial Unicode MS" w:cs="Calibri"/>
        </w:rPr>
        <w:t xml:space="preserve">telefon: </w:t>
      </w:r>
      <w:r>
        <w:rPr>
          <w:rFonts w:eastAsia="Arial Unicode MS" w:cs="Calibri"/>
          <w:b/>
        </w:rPr>
        <w:t>0241733108</w:t>
      </w:r>
      <w:r w:rsidRPr="00E57D2D">
        <w:rPr>
          <w:rFonts w:eastAsia="Arial Unicode MS" w:cs="Calibri"/>
        </w:rPr>
        <w:t xml:space="preserve"> </w:t>
      </w:r>
    </w:p>
    <w:p w:rsidR="007211B0" w:rsidRPr="00E57D2D" w:rsidRDefault="007211B0" w:rsidP="007211B0">
      <w:pPr>
        <w:autoSpaceDE w:val="0"/>
        <w:adjustRightInd w:val="0"/>
        <w:spacing w:after="0"/>
        <w:ind w:left="1080" w:firstLine="720"/>
        <w:jc w:val="both"/>
        <w:rPr>
          <w:rFonts w:eastAsia="Arial Unicode MS" w:cs="Calibri"/>
        </w:rPr>
      </w:pPr>
      <w:r>
        <w:rPr>
          <w:rFonts w:eastAsia="Arial Unicode MS" w:cs="Calibri"/>
        </w:rPr>
        <w:t>fax: -</w:t>
      </w:r>
      <w:r w:rsidRPr="00E57D2D">
        <w:rPr>
          <w:rFonts w:eastAsia="Arial Unicode MS" w:cs="Calibri"/>
        </w:rPr>
        <w:t xml:space="preserve">, </w:t>
      </w:r>
    </w:p>
    <w:p w:rsidR="007211B0" w:rsidRDefault="007211B0" w:rsidP="007211B0">
      <w:pPr>
        <w:autoSpaceDE w:val="0"/>
        <w:adjustRightInd w:val="0"/>
        <w:spacing w:after="0"/>
        <w:ind w:left="1080"/>
        <w:jc w:val="both"/>
        <w:rPr>
          <w:rFonts w:asciiTheme="minorHAnsi" w:hAnsiTheme="minorHAnsi" w:cstheme="minorHAnsi"/>
        </w:rPr>
      </w:pPr>
      <w:r w:rsidRPr="00E57D2D">
        <w:rPr>
          <w:rFonts w:eastAsia="Arial Unicode MS" w:cs="Calibri"/>
        </w:rPr>
        <w:t xml:space="preserve">e-mail: </w:t>
      </w:r>
      <w:hyperlink r:id="rId10" w:history="1"/>
      <w:r>
        <w:rPr>
          <w:b/>
        </w:rPr>
        <w:t>sc23august@yahoo.ro</w:t>
      </w:r>
      <w:r w:rsidRPr="00E57D2D">
        <w:rPr>
          <w:rFonts w:asciiTheme="minorHAnsi" w:hAnsiTheme="minorHAnsi" w:cstheme="minorHAnsi"/>
        </w:rPr>
        <w:t xml:space="preserve"> </w:t>
      </w:r>
    </w:p>
    <w:p w:rsidR="002C01F5" w:rsidRPr="00E57D2D" w:rsidRDefault="002C01F5" w:rsidP="007211B0">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rsidR="00731397" w:rsidRPr="00E57D2D" w:rsidRDefault="00731397" w:rsidP="009A04FB">
      <w:pPr>
        <w:pStyle w:val="yiv3961613445msonormal"/>
        <w:spacing w:before="0" w:after="0"/>
        <w:jc w:val="both"/>
        <w:rPr>
          <w:rFonts w:ascii="Calibri" w:hAnsi="Calibri" w:cs="Calibri"/>
          <w:sz w:val="22"/>
          <w:szCs w:val="22"/>
        </w:rPr>
      </w:pPr>
    </w:p>
    <w:p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rsidR="00733031" w:rsidRPr="00E57D2D" w:rsidRDefault="00733031" w:rsidP="009A04FB">
      <w:pPr>
        <w:pStyle w:val="yiv3961613445msonormal"/>
        <w:spacing w:before="0" w:after="0"/>
        <w:jc w:val="both"/>
        <w:rPr>
          <w:rFonts w:ascii="Calibri" w:hAnsi="Calibri" w:cs="Calibri"/>
          <w:sz w:val="22"/>
          <w:szCs w:val="22"/>
        </w:rPr>
      </w:pPr>
    </w:p>
    <w:p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Pr="00E57D2D">
        <w:rPr>
          <w:rFonts w:ascii="Calibri" w:eastAsia="Arial Unicode MS" w:hAnsi="Calibri" w:cs="Calibr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număr exemplare în cifre</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w:t>
      </w:r>
      <w:r w:rsidRPr="00E57D2D">
        <w:rPr>
          <w:rFonts w:ascii="Calibri" w:eastAsia="Arial Unicode MS" w:hAnsi="Calibri" w:cs="Calibri"/>
          <w:i/>
          <w:sz w:val="22"/>
          <w:szCs w:val="22"/>
          <w:shd w:val="clear" w:color="auto" w:fill="D9D9D9" w:themeFill="background1" w:themeFillShade="D9"/>
        </w:rPr>
        <w:t>[număr exemplare în litere]</w:t>
      </w:r>
      <w:r w:rsidRPr="00E57D2D">
        <w:rPr>
          <w:rFonts w:ascii="Calibri" w:eastAsia="Arial Unicode MS" w:hAnsi="Calibri" w:cs="Calibri"/>
          <w:sz w:val="22"/>
          <w:szCs w:val="22"/>
        </w:rPr>
        <w:t>) exemplare.</w:t>
      </w:r>
    </w:p>
    <w:p w:rsidR="00733031" w:rsidRPr="00E57D2D" w:rsidRDefault="00733031" w:rsidP="009A04FB">
      <w:pPr>
        <w:spacing w:after="0" w:line="240" w:lineRule="auto"/>
        <w:rPr>
          <w:rFonts w:cs="Calibri"/>
          <w:b/>
          <w:bCs/>
        </w:rPr>
      </w:pPr>
    </w:p>
    <w:tbl>
      <w:tblPr>
        <w:tblW w:w="9810" w:type="dxa"/>
        <w:tblCellMar>
          <w:left w:w="10" w:type="dxa"/>
          <w:right w:w="10" w:type="dxa"/>
        </w:tblCellMar>
        <w:tblLook w:val="04A0"/>
      </w:tblPr>
      <w:tblGrid>
        <w:gridCol w:w="4950"/>
        <w:gridCol w:w="4860"/>
      </w:tblGrid>
      <w:tr w:rsidR="00733031" w:rsidRPr="00E57D2D" w:rsidTr="003069FB">
        <w:trPr>
          <w:trHeight w:val="557"/>
        </w:trPr>
        <w:tc>
          <w:tcPr>
            <w:tcW w:w="4950" w:type="dxa"/>
            <w:shd w:val="clear" w:color="auto" w:fill="auto"/>
            <w:tcMar>
              <w:top w:w="0" w:type="dxa"/>
              <w:left w:w="108" w:type="dxa"/>
              <w:bottom w:w="0" w:type="dxa"/>
              <w:right w:w="108" w:type="dxa"/>
            </w:tcMar>
          </w:tcPr>
          <w:p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r w:rsidR="00A5061C">
              <w:rPr>
                <w:rFonts w:cs="Calibri"/>
                <w:b/>
                <w:bCs/>
              </w:rPr>
              <w:t xml:space="preserve"> </w:t>
            </w:r>
          </w:p>
        </w:tc>
        <w:tc>
          <w:tcPr>
            <w:tcW w:w="4860" w:type="dxa"/>
            <w:shd w:val="clear" w:color="auto" w:fill="auto"/>
            <w:tcMar>
              <w:top w:w="0" w:type="dxa"/>
              <w:left w:w="108" w:type="dxa"/>
              <w:bottom w:w="0" w:type="dxa"/>
              <w:right w:w="108" w:type="dxa"/>
            </w:tcMar>
          </w:tcPr>
          <w:p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r w:rsidR="007211B0" w:rsidRPr="00E57D2D" w:rsidTr="003069FB">
        <w:trPr>
          <w:trHeight w:val="552"/>
        </w:trPr>
        <w:tc>
          <w:tcPr>
            <w:tcW w:w="4950" w:type="dxa"/>
            <w:shd w:val="clear" w:color="auto" w:fill="auto"/>
            <w:tcMar>
              <w:top w:w="0" w:type="dxa"/>
              <w:left w:w="108" w:type="dxa"/>
              <w:bottom w:w="0" w:type="dxa"/>
              <w:right w:w="108" w:type="dxa"/>
            </w:tcMar>
          </w:tcPr>
          <w:p w:rsidR="007211B0" w:rsidRPr="00E57D2D" w:rsidRDefault="007211B0" w:rsidP="00D329B1">
            <w:pPr>
              <w:spacing w:after="0" w:line="240" w:lineRule="auto"/>
              <w:rPr>
                <w:rFonts w:cs="Calibri"/>
              </w:rPr>
            </w:pPr>
            <w:r w:rsidRPr="00023F93">
              <w:rPr>
                <w:rFonts w:asciiTheme="minorHAnsi" w:hAnsiTheme="minorHAnsi" w:cstheme="minorHAnsi"/>
                <w:b/>
                <w:bCs/>
                <w:noProof/>
              </w:rPr>
              <w:t>Școala Gimnazială ,,George Coșbuc" 23 August</w:t>
            </w:r>
          </w:p>
        </w:tc>
        <w:tc>
          <w:tcPr>
            <w:tcW w:w="4860" w:type="dxa"/>
            <w:shd w:val="clear" w:color="auto" w:fill="auto"/>
            <w:tcMar>
              <w:top w:w="0" w:type="dxa"/>
              <w:left w:w="108" w:type="dxa"/>
              <w:bottom w:w="0" w:type="dxa"/>
              <w:right w:w="108" w:type="dxa"/>
            </w:tcMar>
          </w:tcPr>
          <w:p w:rsidR="007211B0" w:rsidRPr="00E57D2D" w:rsidRDefault="007211B0" w:rsidP="009A04FB">
            <w:pPr>
              <w:spacing w:after="0" w:line="240" w:lineRule="auto"/>
              <w:rPr>
                <w:rFonts w:cs="Calibri"/>
              </w:rPr>
            </w:pPr>
            <w:r w:rsidRPr="00E57D2D">
              <w:rPr>
                <w:rFonts w:eastAsia="Arial Unicode MS" w:cs="Calibri"/>
                <w:i/>
                <w:shd w:val="clear" w:color="auto" w:fill="D3D3D3"/>
              </w:rPr>
              <w:t>[Furnizorul]</w:t>
            </w:r>
          </w:p>
        </w:tc>
      </w:tr>
      <w:tr w:rsidR="007211B0" w:rsidRPr="00E57D2D" w:rsidTr="003069FB">
        <w:trPr>
          <w:trHeight w:val="574"/>
        </w:trPr>
        <w:tc>
          <w:tcPr>
            <w:tcW w:w="4950" w:type="dxa"/>
            <w:shd w:val="clear" w:color="auto" w:fill="auto"/>
            <w:tcMar>
              <w:top w:w="0" w:type="dxa"/>
              <w:left w:w="108" w:type="dxa"/>
              <w:bottom w:w="0" w:type="dxa"/>
              <w:right w:w="108" w:type="dxa"/>
            </w:tcMar>
          </w:tcPr>
          <w:p w:rsidR="007211B0" w:rsidRPr="00E57D2D" w:rsidRDefault="007211B0" w:rsidP="00D329B1">
            <w:pPr>
              <w:spacing w:after="0" w:line="240" w:lineRule="auto"/>
              <w:rPr>
                <w:rFonts w:cs="Calibri"/>
              </w:rPr>
            </w:pPr>
            <w:r>
              <w:rPr>
                <w:rFonts w:cs="Calibri"/>
              </w:rPr>
              <w:t>DAVID VALENTINA</w:t>
            </w:r>
          </w:p>
        </w:tc>
        <w:tc>
          <w:tcPr>
            <w:tcW w:w="4860" w:type="dxa"/>
            <w:shd w:val="clear" w:color="auto" w:fill="auto"/>
            <w:tcMar>
              <w:top w:w="0" w:type="dxa"/>
              <w:left w:w="108" w:type="dxa"/>
              <w:bottom w:w="0" w:type="dxa"/>
              <w:right w:w="108" w:type="dxa"/>
            </w:tcMar>
          </w:tcPr>
          <w:p w:rsidR="007211B0" w:rsidRPr="00E57D2D" w:rsidRDefault="007211B0" w:rsidP="009A04FB">
            <w:pPr>
              <w:spacing w:after="0" w:line="240" w:lineRule="auto"/>
              <w:rPr>
                <w:rFonts w:cs="Calibri"/>
              </w:rPr>
            </w:pPr>
            <w:r w:rsidRPr="00E57D2D">
              <w:rPr>
                <w:rFonts w:eastAsia="Arial Unicode MS" w:cs="Calibri"/>
                <w:i/>
                <w:shd w:val="clear" w:color="auto" w:fill="D3D3D3"/>
              </w:rPr>
              <w:t>[numele și prenumele reprezentantului legal al Furnizorului]</w:t>
            </w:r>
          </w:p>
        </w:tc>
      </w:tr>
      <w:tr w:rsidR="007211B0" w:rsidRPr="00E57D2D" w:rsidTr="003069FB">
        <w:trPr>
          <w:trHeight w:val="553"/>
        </w:trPr>
        <w:tc>
          <w:tcPr>
            <w:tcW w:w="4950" w:type="dxa"/>
            <w:shd w:val="clear" w:color="auto" w:fill="auto"/>
            <w:tcMar>
              <w:top w:w="0" w:type="dxa"/>
              <w:left w:w="108" w:type="dxa"/>
              <w:bottom w:w="0" w:type="dxa"/>
              <w:right w:w="108" w:type="dxa"/>
            </w:tcMar>
          </w:tcPr>
          <w:p w:rsidR="007211B0" w:rsidRPr="00E57D2D" w:rsidRDefault="007211B0" w:rsidP="00D329B1">
            <w:pPr>
              <w:spacing w:after="0" w:line="240" w:lineRule="auto"/>
              <w:rPr>
                <w:rFonts w:cs="Calibri"/>
              </w:rPr>
            </w:pPr>
            <w:r>
              <w:rPr>
                <w:rFonts w:cs="Calibri"/>
              </w:rPr>
              <w:t>Director</w:t>
            </w:r>
          </w:p>
        </w:tc>
        <w:tc>
          <w:tcPr>
            <w:tcW w:w="4860" w:type="dxa"/>
            <w:shd w:val="clear" w:color="auto" w:fill="auto"/>
            <w:tcMar>
              <w:top w:w="0" w:type="dxa"/>
              <w:left w:w="108" w:type="dxa"/>
              <w:bottom w:w="0" w:type="dxa"/>
              <w:right w:w="108" w:type="dxa"/>
            </w:tcMar>
          </w:tcPr>
          <w:p w:rsidR="007211B0" w:rsidRPr="00E57D2D" w:rsidRDefault="007211B0" w:rsidP="009A04FB">
            <w:pPr>
              <w:spacing w:after="0" w:line="240" w:lineRule="auto"/>
              <w:rPr>
                <w:rFonts w:cs="Calibri"/>
              </w:rPr>
            </w:pPr>
            <w:r w:rsidRPr="00E57D2D">
              <w:rPr>
                <w:rFonts w:eastAsia="Arial Unicode MS" w:cs="Calibri"/>
                <w:i/>
                <w:shd w:val="clear" w:color="auto" w:fill="D3D3D3"/>
              </w:rPr>
              <w:t>[funcția reprezentantului legal al Furnizorului]</w:t>
            </w:r>
          </w:p>
        </w:tc>
      </w:tr>
      <w:tr w:rsidR="00733031" w:rsidRPr="00E57D2D" w:rsidTr="003069FB">
        <w:trPr>
          <w:trHeight w:val="547"/>
        </w:trPr>
        <w:tc>
          <w:tcPr>
            <w:tcW w:w="4950" w:type="dxa"/>
            <w:shd w:val="clear" w:color="auto" w:fill="auto"/>
            <w:tcMar>
              <w:top w:w="0" w:type="dxa"/>
              <w:left w:w="108" w:type="dxa"/>
              <w:bottom w:w="0" w:type="dxa"/>
              <w:right w:w="108" w:type="dxa"/>
            </w:tcMar>
          </w:tcPr>
          <w:p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C97B6B" w:rsidRPr="00E57D2D">
              <w:rPr>
                <w:rFonts w:eastAsia="Arial Unicode MS" w:cs="Calibri"/>
                <w:i/>
                <w:shd w:val="clear" w:color="auto" w:fill="D3D3D3"/>
              </w:rPr>
              <w:t>Unității de Învățământ</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rsidTr="003069FB">
        <w:trPr>
          <w:trHeight w:val="555"/>
        </w:trPr>
        <w:tc>
          <w:tcPr>
            <w:tcW w:w="4950" w:type="dxa"/>
            <w:shd w:val="clear" w:color="auto" w:fill="D9D9D9" w:themeFill="background1" w:themeFillShade="D9"/>
            <w:tcMar>
              <w:top w:w="0" w:type="dxa"/>
              <w:left w:w="108" w:type="dxa"/>
              <w:bottom w:w="0" w:type="dxa"/>
              <w:right w:w="108" w:type="dxa"/>
            </w:tcMar>
          </w:tcPr>
          <w:p w:rsidR="00733031" w:rsidRPr="00E57D2D" w:rsidRDefault="00733031">
            <w:pPr>
              <w:rPr>
                <w:rFonts w:cs="Calibri"/>
              </w:rPr>
            </w:pPr>
          </w:p>
        </w:tc>
        <w:tc>
          <w:tcPr>
            <w:tcW w:w="4860" w:type="dxa"/>
            <w:shd w:val="clear" w:color="auto" w:fill="D9D9D9" w:themeFill="background1" w:themeFillShade="D9"/>
            <w:tcMar>
              <w:top w:w="0" w:type="dxa"/>
              <w:left w:w="108" w:type="dxa"/>
              <w:bottom w:w="0" w:type="dxa"/>
              <w:right w:w="108" w:type="dxa"/>
            </w:tcMar>
          </w:tcPr>
          <w:p w:rsidR="00733031" w:rsidRPr="00E57D2D" w:rsidRDefault="00733031">
            <w:pPr>
              <w:rPr>
                <w:rFonts w:cs="Calibri"/>
              </w:rPr>
            </w:pPr>
          </w:p>
        </w:tc>
      </w:tr>
    </w:tbl>
    <w:p w:rsidR="00733031" w:rsidRPr="00E57D2D" w:rsidRDefault="002F2832" w:rsidP="002F2832">
      <w:pPr>
        <w:spacing w:after="0" w:line="240" w:lineRule="auto"/>
        <w:rPr>
          <w:rFonts w:cs="Calibri"/>
        </w:rPr>
      </w:pPr>
      <w:r w:rsidRPr="00E57D2D">
        <w:rPr>
          <w:rFonts w:cs="Calibri"/>
          <w:i/>
          <w:shd w:val="clear" w:color="auto" w:fill="D9D9D9" w:themeFill="background1" w:themeFillShade="D9"/>
        </w:rPr>
        <w:t>[Introduceți informații pentru toți reprezentanții care trebuie să semneze Contractul, conform regulamentelor și procedurilor interne ale Părților.]</w:t>
      </w:r>
    </w:p>
    <w:sectPr w:rsidR="00733031" w:rsidRPr="00E57D2D" w:rsidSect="007D7050">
      <w:headerReference w:type="even" r:id="rId12"/>
      <w:headerReference w:type="default" r:id="rId13"/>
      <w:footerReference w:type="even" r:id="rId14"/>
      <w:footerReference w:type="default" r:id="rId15"/>
      <w:headerReference w:type="first" r:id="rId16"/>
      <w:footerReference w:type="first" r:id="rId17"/>
      <w:pgSz w:w="12240" w:h="15840"/>
      <w:pgMar w:top="720" w:right="900" w:bottom="450" w:left="162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90E" w:rsidRDefault="00CC690E">
      <w:pPr>
        <w:spacing w:after="0" w:line="240" w:lineRule="auto"/>
      </w:pPr>
      <w:r>
        <w:separator/>
      </w:r>
    </w:p>
  </w:endnote>
  <w:endnote w:type="continuationSeparator" w:id="1">
    <w:p w:rsidR="00CC690E" w:rsidRDefault="00CC6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B2" w:rsidRDefault="002F4F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272994"/>
      <w:docPartObj>
        <w:docPartGallery w:val="Page Numbers (Bottom of Page)"/>
        <w:docPartUnique/>
      </w:docPartObj>
    </w:sdtPr>
    <w:sdtContent>
      <w:sdt>
        <w:sdtPr>
          <w:id w:val="1009335555"/>
          <w:docPartObj>
            <w:docPartGallery w:val="Page Numbers (Top of Page)"/>
            <w:docPartUnique/>
          </w:docPartObj>
        </w:sdtPr>
        <w:sdtContent>
          <w:p w:rsidR="002F4FB2" w:rsidRPr="002F4FB2" w:rsidRDefault="002F4FB2" w:rsidP="002F4FB2">
            <w:pPr>
              <w:spacing w:after="0" w:line="240" w:lineRule="auto"/>
              <w:jc w:val="center"/>
              <w:rPr>
                <w:rFonts w:eastAsia="+mn-ea" w:cs="+mn-cs"/>
                <w:b/>
                <w:bCs/>
                <w:color w:val="000000"/>
                <w:kern w:val="24"/>
                <w:lang w:val="fr-FR" w:eastAsia="en-US"/>
              </w:rPr>
            </w:pPr>
            <w:r w:rsidRPr="002F4FB2">
              <w:rPr>
                <w:rFonts w:eastAsia="+mn-ea" w:cs="+mn-cs"/>
                <w:b/>
                <w:bCs/>
                <w:color w:val="000000"/>
                <w:kern w:val="24"/>
                <w:lang w:val="fr-FR" w:eastAsia="en-US"/>
              </w:rPr>
              <w:t>„PNRR. Finanțat de UniuneaEuropeană – UrmătoareaGenerațieUE”</w:t>
            </w:r>
          </w:p>
          <w:p w:rsidR="002B70D5" w:rsidRPr="002F4FB2" w:rsidRDefault="002F4FB2" w:rsidP="002F4FB2">
            <w:pPr>
              <w:suppressAutoHyphens w:val="0"/>
              <w:autoSpaceDN/>
              <w:spacing w:after="0" w:line="240" w:lineRule="auto"/>
              <w:jc w:val="center"/>
              <w:rPr>
                <w:rFonts w:eastAsia="+mn-ea" w:cs="+mn-cs"/>
                <w:color w:val="000000"/>
                <w:kern w:val="24"/>
                <w:lang w:val="fr-FR" w:eastAsia="en-US"/>
              </w:rPr>
            </w:pPr>
            <w:r w:rsidRPr="002F4FB2">
              <w:rPr>
                <w:rFonts w:eastAsia="+mn-ea" w:cs="+mn-cs"/>
                <w:color w:val="000000"/>
                <w:kern w:val="24"/>
                <w:lang w:val="fr-FR" w:eastAsia="en-US"/>
              </w:rPr>
              <w:t>https://mfe.gov.ro/pnrr/ https://www.facebook.com/PNRROficial/</w:t>
            </w:r>
          </w:p>
          <w:p w:rsidR="00586A56" w:rsidRDefault="00586A56" w:rsidP="00727C7E">
            <w:pPr>
              <w:pStyle w:val="Footer"/>
              <w:jc w:val="right"/>
            </w:pPr>
            <w:r>
              <w:t>Pag</w:t>
            </w:r>
            <w:r w:rsidR="00EF34BD">
              <w:t>ina</w:t>
            </w:r>
            <w:r w:rsidR="004D7D2B">
              <w:rPr>
                <w:b/>
                <w:bCs/>
                <w:sz w:val="24"/>
                <w:szCs w:val="24"/>
              </w:rPr>
              <w:fldChar w:fldCharType="begin"/>
            </w:r>
            <w:r>
              <w:rPr>
                <w:b/>
                <w:bCs/>
              </w:rPr>
              <w:instrText xml:space="preserve"> PAGE </w:instrText>
            </w:r>
            <w:r w:rsidR="004D7D2B">
              <w:rPr>
                <w:b/>
                <w:bCs/>
                <w:sz w:val="24"/>
                <w:szCs w:val="24"/>
              </w:rPr>
              <w:fldChar w:fldCharType="separate"/>
            </w:r>
            <w:r w:rsidR="00B06CA0">
              <w:rPr>
                <w:b/>
                <w:bCs/>
                <w:noProof/>
              </w:rPr>
              <w:t>4</w:t>
            </w:r>
            <w:r w:rsidR="004D7D2B">
              <w:rPr>
                <w:b/>
                <w:bCs/>
                <w:sz w:val="24"/>
                <w:szCs w:val="24"/>
              </w:rPr>
              <w:fldChar w:fldCharType="end"/>
            </w:r>
            <w:r w:rsidR="00EF34BD">
              <w:t>din</w:t>
            </w:r>
            <w:r w:rsidR="004D7D2B">
              <w:rPr>
                <w:b/>
                <w:bCs/>
                <w:sz w:val="24"/>
                <w:szCs w:val="24"/>
              </w:rPr>
              <w:fldChar w:fldCharType="begin"/>
            </w:r>
            <w:r>
              <w:rPr>
                <w:b/>
                <w:bCs/>
              </w:rPr>
              <w:instrText xml:space="preserve"> NUMPAGES  </w:instrText>
            </w:r>
            <w:r w:rsidR="004D7D2B">
              <w:rPr>
                <w:b/>
                <w:bCs/>
                <w:sz w:val="24"/>
                <w:szCs w:val="24"/>
              </w:rPr>
              <w:fldChar w:fldCharType="separate"/>
            </w:r>
            <w:r w:rsidR="00B06CA0">
              <w:rPr>
                <w:b/>
                <w:bCs/>
                <w:noProof/>
              </w:rPr>
              <w:t>6</w:t>
            </w:r>
            <w:r w:rsidR="004D7D2B">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037375"/>
      <w:docPartObj>
        <w:docPartGallery w:val="Page Numbers (Bottom of Page)"/>
        <w:docPartUnique/>
      </w:docPartObj>
    </w:sdtPr>
    <w:sdtContent>
      <w:sdt>
        <w:sdtPr>
          <w:id w:val="-288815166"/>
          <w:docPartObj>
            <w:docPartGallery w:val="Page Numbers (Top of Page)"/>
            <w:docPartUnique/>
          </w:docPartObj>
        </w:sdtPr>
        <w:sdtContent>
          <w:p w:rsidR="002F4FB2" w:rsidRPr="002F4FB2" w:rsidRDefault="002F4FB2" w:rsidP="002F4FB2">
            <w:pPr>
              <w:spacing w:after="0" w:line="240" w:lineRule="auto"/>
              <w:jc w:val="center"/>
              <w:rPr>
                <w:rFonts w:eastAsia="+mn-ea" w:cs="+mn-cs"/>
                <w:b/>
                <w:bCs/>
                <w:color w:val="000000"/>
                <w:kern w:val="24"/>
                <w:lang w:val="fr-FR" w:eastAsia="en-US"/>
              </w:rPr>
            </w:pPr>
            <w:r w:rsidRPr="002F4FB2">
              <w:rPr>
                <w:rFonts w:eastAsia="+mn-ea" w:cs="+mn-cs"/>
                <w:b/>
                <w:bCs/>
                <w:color w:val="000000"/>
                <w:kern w:val="24"/>
                <w:lang w:val="fr-FR" w:eastAsia="en-US"/>
              </w:rPr>
              <w:t>„PNRR. Finanțat de UniuneaEuropeană – UrmătoareaGenerațieUE”</w:t>
            </w:r>
          </w:p>
          <w:p w:rsidR="007D7050" w:rsidRPr="002F4FB2" w:rsidRDefault="002F4FB2" w:rsidP="002F4FB2">
            <w:pPr>
              <w:suppressAutoHyphens w:val="0"/>
              <w:autoSpaceDN/>
              <w:spacing w:after="0" w:line="240" w:lineRule="auto"/>
              <w:jc w:val="center"/>
              <w:rPr>
                <w:rFonts w:eastAsia="+mn-ea" w:cs="+mn-cs"/>
                <w:color w:val="000000"/>
                <w:kern w:val="24"/>
                <w:lang w:val="fr-FR" w:eastAsia="en-US"/>
              </w:rPr>
            </w:pPr>
            <w:r w:rsidRPr="002F4FB2">
              <w:rPr>
                <w:rFonts w:eastAsia="+mn-ea" w:cs="+mn-cs"/>
                <w:color w:val="000000"/>
                <w:kern w:val="24"/>
                <w:lang w:val="fr-FR" w:eastAsia="en-US"/>
              </w:rPr>
              <w:t>https://mfe.gov.ro/pnrr/ https://www.facebook.com/PNRROficial/</w:t>
            </w:r>
          </w:p>
          <w:p w:rsidR="007D7050" w:rsidRDefault="007D7050" w:rsidP="007D7050">
            <w:pPr>
              <w:pStyle w:val="Footer"/>
              <w:jc w:val="right"/>
            </w:pPr>
            <w:r>
              <w:t xml:space="preserve">Pagina </w:t>
            </w:r>
            <w:r w:rsidR="004D7D2B">
              <w:rPr>
                <w:b/>
                <w:bCs/>
                <w:sz w:val="24"/>
                <w:szCs w:val="24"/>
              </w:rPr>
              <w:fldChar w:fldCharType="begin"/>
            </w:r>
            <w:r>
              <w:rPr>
                <w:b/>
                <w:bCs/>
              </w:rPr>
              <w:instrText xml:space="preserve"> PAGE </w:instrText>
            </w:r>
            <w:r w:rsidR="004D7D2B">
              <w:rPr>
                <w:b/>
                <w:bCs/>
                <w:sz w:val="24"/>
                <w:szCs w:val="24"/>
              </w:rPr>
              <w:fldChar w:fldCharType="separate"/>
            </w:r>
            <w:r w:rsidR="00B06CA0">
              <w:rPr>
                <w:b/>
                <w:bCs/>
                <w:noProof/>
              </w:rPr>
              <w:t>1</w:t>
            </w:r>
            <w:r w:rsidR="004D7D2B">
              <w:rPr>
                <w:b/>
                <w:bCs/>
                <w:sz w:val="24"/>
                <w:szCs w:val="24"/>
              </w:rPr>
              <w:fldChar w:fldCharType="end"/>
            </w:r>
            <w:r>
              <w:t xml:space="preserve"> din </w:t>
            </w:r>
            <w:r w:rsidR="004D7D2B">
              <w:rPr>
                <w:b/>
                <w:bCs/>
                <w:sz w:val="24"/>
                <w:szCs w:val="24"/>
              </w:rPr>
              <w:fldChar w:fldCharType="begin"/>
            </w:r>
            <w:r>
              <w:rPr>
                <w:b/>
                <w:bCs/>
              </w:rPr>
              <w:instrText xml:space="preserve"> NUMPAGES  </w:instrText>
            </w:r>
            <w:r w:rsidR="004D7D2B">
              <w:rPr>
                <w:b/>
                <w:bCs/>
                <w:sz w:val="24"/>
                <w:szCs w:val="24"/>
              </w:rPr>
              <w:fldChar w:fldCharType="separate"/>
            </w:r>
            <w:r w:rsidR="00B06CA0">
              <w:rPr>
                <w:b/>
                <w:bCs/>
                <w:noProof/>
              </w:rPr>
              <w:t>6</w:t>
            </w:r>
            <w:r w:rsidR="004D7D2B">
              <w:rPr>
                <w:b/>
                <w:bCs/>
                <w:sz w:val="24"/>
                <w:szCs w:val="24"/>
              </w:rPr>
              <w:fldChar w:fldCharType="end"/>
            </w:r>
          </w:p>
        </w:sdtContent>
      </w:sdt>
    </w:sdtContent>
  </w:sdt>
  <w:p w:rsidR="007D7050" w:rsidRDefault="007D7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90E" w:rsidRDefault="00CC690E">
      <w:pPr>
        <w:spacing w:after="0" w:line="240" w:lineRule="auto"/>
      </w:pPr>
      <w:r>
        <w:rPr>
          <w:color w:val="000000"/>
        </w:rPr>
        <w:separator/>
      </w:r>
    </w:p>
  </w:footnote>
  <w:footnote w:type="continuationSeparator" w:id="1">
    <w:p w:rsidR="00CC690E" w:rsidRDefault="00CC6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B2" w:rsidRDefault="002F4F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B2" w:rsidRPr="002F4FB2" w:rsidRDefault="002F4FB2" w:rsidP="002F4FB2">
    <w:pPr>
      <w:tabs>
        <w:tab w:val="center" w:pos="4680"/>
        <w:tab w:val="right" w:pos="9360"/>
      </w:tabs>
      <w:suppressAutoHyphens w:val="0"/>
      <w:autoSpaceDN/>
      <w:spacing w:after="160" w:line="259" w:lineRule="auto"/>
      <w:jc w:val="center"/>
      <w:textAlignment w:val="auto"/>
      <w:rPr>
        <w:rFonts w:eastAsia="Calibri"/>
        <w:lang w:val="en-US" w:eastAsia="en-US"/>
      </w:rPr>
    </w:pPr>
    <w:r w:rsidRPr="002F4FB2">
      <w:rPr>
        <w:rFonts w:eastAsia="Calibri"/>
        <w:noProof/>
        <w:lang w:val="en-US" w:eastAsia="en-US"/>
      </w:rPr>
      <w:drawing>
        <wp:anchor distT="0" distB="0" distL="114300" distR="114300" simplePos="0" relativeHeight="251664384" behindDoc="0" locked="0" layoutInCell="1" allowOverlap="1">
          <wp:simplePos x="0" y="0"/>
          <wp:positionH relativeFrom="column">
            <wp:posOffset>1801495</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655" y="20953"/>
              <wp:lineTo x="5542" y="20953"/>
              <wp:lineTo x="21282" y="12417"/>
              <wp:lineTo x="21282" y="7760"/>
              <wp:lineTo x="4655" y="0"/>
              <wp:lineTo x="133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2F4FB2">
      <w:rPr>
        <w:rFonts w:eastAsia="Calibri"/>
        <w:noProof/>
        <w:lang w:val="en-US" w:eastAsia="en-US"/>
      </w:rPr>
      <w:drawing>
        <wp:anchor distT="0" distB="0" distL="114300" distR="114300" simplePos="0" relativeHeight="251665408" behindDoc="0" locked="0" layoutInCell="1" allowOverlap="1">
          <wp:simplePos x="0" y="0"/>
          <wp:positionH relativeFrom="column">
            <wp:posOffset>-136525</wp:posOffset>
          </wp:positionH>
          <wp:positionV relativeFrom="paragraph">
            <wp:posOffset>-45720</wp:posOffset>
          </wp:positionV>
          <wp:extent cx="1581785" cy="457200"/>
          <wp:effectExtent l="0" t="0" r="0" b="0"/>
          <wp:wrapThrough wrapText="bothSides">
            <wp:wrapPolygon edited="0">
              <wp:start x="0" y="0"/>
              <wp:lineTo x="0" y="20700"/>
              <wp:lineTo x="21331" y="20700"/>
              <wp:lineTo x="2133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785" cy="457200"/>
                  </a:xfrm>
                  <a:prstGeom prst="rect">
                    <a:avLst/>
                  </a:prstGeom>
                  <a:noFill/>
                  <a:ln>
                    <a:noFill/>
                  </a:ln>
                </pic:spPr>
              </pic:pic>
            </a:graphicData>
          </a:graphic>
        </wp:anchor>
      </w:drawing>
    </w:r>
    <w:r w:rsidRPr="002F4FB2">
      <w:rPr>
        <w:rFonts w:eastAsia="Calibri"/>
        <w:noProof/>
        <w:lang w:val="en-US" w:eastAsia="en-US"/>
      </w:rPr>
      <w:drawing>
        <wp:anchor distT="0" distB="0" distL="114300" distR="114300" simplePos="0" relativeHeight="251663360" behindDoc="0" locked="0" layoutInCell="1" allowOverlap="1">
          <wp:simplePos x="0" y="0"/>
          <wp:positionH relativeFrom="column">
            <wp:posOffset>4020185</wp:posOffset>
          </wp:positionH>
          <wp:positionV relativeFrom="paragraph">
            <wp:posOffset>3810</wp:posOffset>
          </wp:positionV>
          <wp:extent cx="2551430" cy="411480"/>
          <wp:effectExtent l="0" t="0" r="1270" b="7620"/>
          <wp:wrapThrough wrapText="bothSides">
            <wp:wrapPolygon edited="0">
              <wp:start x="0" y="0"/>
              <wp:lineTo x="0" y="19000"/>
              <wp:lineTo x="5000" y="21000"/>
              <wp:lineTo x="20643" y="21000"/>
              <wp:lineTo x="21449" y="17000"/>
              <wp:lineTo x="21449" y="7000"/>
              <wp:lineTo x="14031" y="1000"/>
              <wp:lineTo x="484" y="0"/>
              <wp:lineTo x="0" y="0"/>
            </wp:wrapPolygon>
          </wp:wrapThrough>
          <wp:docPr id="6" name="Picture 6"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fe.gov.ro/wp-content/uploads/2022/03/c1525aa1432c509e77b263d9767ed4eb-1.png"/>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1430" cy="41148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B2" w:rsidRPr="002F4FB2" w:rsidRDefault="002F4FB2" w:rsidP="002F4FB2">
    <w:pPr>
      <w:tabs>
        <w:tab w:val="center" w:pos="4680"/>
        <w:tab w:val="right" w:pos="9360"/>
      </w:tabs>
      <w:suppressAutoHyphens w:val="0"/>
      <w:autoSpaceDN/>
      <w:spacing w:after="160" w:line="259" w:lineRule="auto"/>
      <w:jc w:val="center"/>
      <w:textAlignment w:val="auto"/>
      <w:rPr>
        <w:rFonts w:eastAsia="Calibri"/>
        <w:lang w:val="en-US" w:eastAsia="en-US"/>
      </w:rPr>
    </w:pPr>
    <w:r w:rsidRPr="002F4FB2">
      <w:rPr>
        <w:rFonts w:eastAsia="Calibri"/>
        <w:noProof/>
        <w:lang w:val="en-US" w:eastAsia="en-US"/>
      </w:rPr>
      <w:drawing>
        <wp:anchor distT="0" distB="0" distL="114300" distR="114300" simplePos="0" relativeHeight="251660288" behindDoc="0" locked="0" layoutInCell="1" allowOverlap="1">
          <wp:simplePos x="0" y="0"/>
          <wp:positionH relativeFrom="column">
            <wp:posOffset>1801495</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655" y="20953"/>
              <wp:lineTo x="5542" y="20953"/>
              <wp:lineTo x="21282" y="12417"/>
              <wp:lineTo x="21282" y="7760"/>
              <wp:lineTo x="4655" y="0"/>
              <wp:lineTo x="133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2F4FB2">
      <w:rPr>
        <w:rFonts w:eastAsia="Calibri"/>
        <w:noProof/>
        <w:lang w:val="en-US" w:eastAsia="en-US"/>
      </w:rPr>
      <w:drawing>
        <wp:anchor distT="0" distB="0" distL="114300" distR="114300" simplePos="0" relativeHeight="251661312" behindDoc="0" locked="0" layoutInCell="1" allowOverlap="1">
          <wp:simplePos x="0" y="0"/>
          <wp:positionH relativeFrom="column">
            <wp:posOffset>-136525</wp:posOffset>
          </wp:positionH>
          <wp:positionV relativeFrom="paragraph">
            <wp:posOffset>-45720</wp:posOffset>
          </wp:positionV>
          <wp:extent cx="1581785" cy="457200"/>
          <wp:effectExtent l="0" t="0" r="0" b="0"/>
          <wp:wrapThrough wrapText="bothSides">
            <wp:wrapPolygon edited="0">
              <wp:start x="0" y="0"/>
              <wp:lineTo x="0" y="20700"/>
              <wp:lineTo x="21331" y="20700"/>
              <wp:lineTo x="213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785" cy="457200"/>
                  </a:xfrm>
                  <a:prstGeom prst="rect">
                    <a:avLst/>
                  </a:prstGeom>
                  <a:noFill/>
                  <a:ln>
                    <a:noFill/>
                  </a:ln>
                </pic:spPr>
              </pic:pic>
            </a:graphicData>
          </a:graphic>
        </wp:anchor>
      </w:drawing>
    </w:r>
    <w:r w:rsidRPr="002F4FB2">
      <w:rPr>
        <w:rFonts w:eastAsia="Calibri"/>
        <w:noProof/>
        <w:lang w:val="en-US" w:eastAsia="en-US"/>
      </w:rPr>
      <w:drawing>
        <wp:anchor distT="0" distB="0" distL="114300" distR="114300" simplePos="0" relativeHeight="251659264" behindDoc="0" locked="0" layoutInCell="1" allowOverlap="1">
          <wp:simplePos x="0" y="0"/>
          <wp:positionH relativeFrom="column">
            <wp:posOffset>4020185</wp:posOffset>
          </wp:positionH>
          <wp:positionV relativeFrom="paragraph">
            <wp:posOffset>3810</wp:posOffset>
          </wp:positionV>
          <wp:extent cx="2551430" cy="411480"/>
          <wp:effectExtent l="0" t="0" r="1270" b="7620"/>
          <wp:wrapThrough wrapText="bothSides">
            <wp:wrapPolygon edited="0">
              <wp:start x="0" y="0"/>
              <wp:lineTo x="0" y="19000"/>
              <wp:lineTo x="5000" y="21000"/>
              <wp:lineTo x="20643" y="21000"/>
              <wp:lineTo x="21449" y="17000"/>
              <wp:lineTo x="21449" y="7000"/>
              <wp:lineTo x="14031" y="1000"/>
              <wp:lineTo x="484" y="0"/>
              <wp:lineTo x="0" y="0"/>
            </wp:wrapPolygon>
          </wp:wrapThrough>
          <wp:docPr id="1" name="Picture 1"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fe.gov.ro/wp-content/uploads/2022/03/c1525aa1432c509e77b263d9767ed4eb-1.png"/>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1430" cy="4114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47E"/>
    <w:rsid w:val="00025B33"/>
    <w:rsid w:val="00033ACD"/>
    <w:rsid w:val="00040D0D"/>
    <w:rsid w:val="000515DF"/>
    <w:rsid w:val="00062A2B"/>
    <w:rsid w:val="000631D3"/>
    <w:rsid w:val="00065684"/>
    <w:rsid w:val="000677EA"/>
    <w:rsid w:val="00067BA5"/>
    <w:rsid w:val="00070F0E"/>
    <w:rsid w:val="00080EC4"/>
    <w:rsid w:val="00082116"/>
    <w:rsid w:val="00090628"/>
    <w:rsid w:val="000A68F0"/>
    <w:rsid w:val="000B0BE6"/>
    <w:rsid w:val="000B75CC"/>
    <w:rsid w:val="000E002F"/>
    <w:rsid w:val="000E2A61"/>
    <w:rsid w:val="000E4EB7"/>
    <w:rsid w:val="000F6D85"/>
    <w:rsid w:val="00110762"/>
    <w:rsid w:val="00113EDC"/>
    <w:rsid w:val="00132CF3"/>
    <w:rsid w:val="00155D24"/>
    <w:rsid w:val="001600F8"/>
    <w:rsid w:val="00162683"/>
    <w:rsid w:val="00171980"/>
    <w:rsid w:val="00177E37"/>
    <w:rsid w:val="00192C46"/>
    <w:rsid w:val="0019342A"/>
    <w:rsid w:val="00196DEA"/>
    <w:rsid w:val="001B331E"/>
    <w:rsid w:val="001B49D3"/>
    <w:rsid w:val="001F4D95"/>
    <w:rsid w:val="00202360"/>
    <w:rsid w:val="00215F5F"/>
    <w:rsid w:val="00220258"/>
    <w:rsid w:val="0023331E"/>
    <w:rsid w:val="0024050E"/>
    <w:rsid w:val="002463E1"/>
    <w:rsid w:val="002509D9"/>
    <w:rsid w:val="00253D2D"/>
    <w:rsid w:val="00256F2F"/>
    <w:rsid w:val="00294303"/>
    <w:rsid w:val="002A0062"/>
    <w:rsid w:val="002A62C7"/>
    <w:rsid w:val="002B70D5"/>
    <w:rsid w:val="002C01F5"/>
    <w:rsid w:val="002C58A3"/>
    <w:rsid w:val="002C713D"/>
    <w:rsid w:val="002E0ADE"/>
    <w:rsid w:val="002F2832"/>
    <w:rsid w:val="002F4FB2"/>
    <w:rsid w:val="00303034"/>
    <w:rsid w:val="003069FB"/>
    <w:rsid w:val="00311024"/>
    <w:rsid w:val="00322049"/>
    <w:rsid w:val="0033155A"/>
    <w:rsid w:val="00334157"/>
    <w:rsid w:val="003435A4"/>
    <w:rsid w:val="00354D6F"/>
    <w:rsid w:val="00364F68"/>
    <w:rsid w:val="0037220D"/>
    <w:rsid w:val="00376D84"/>
    <w:rsid w:val="00383DFE"/>
    <w:rsid w:val="00392E6E"/>
    <w:rsid w:val="003972A6"/>
    <w:rsid w:val="003A770E"/>
    <w:rsid w:val="003B6FF5"/>
    <w:rsid w:val="003D47A3"/>
    <w:rsid w:val="003E024D"/>
    <w:rsid w:val="003E4A4A"/>
    <w:rsid w:val="003F3D48"/>
    <w:rsid w:val="00405122"/>
    <w:rsid w:val="00411765"/>
    <w:rsid w:val="004121BC"/>
    <w:rsid w:val="00447D20"/>
    <w:rsid w:val="00456383"/>
    <w:rsid w:val="004563C7"/>
    <w:rsid w:val="00473C82"/>
    <w:rsid w:val="00474F37"/>
    <w:rsid w:val="00491204"/>
    <w:rsid w:val="00491488"/>
    <w:rsid w:val="004B31C6"/>
    <w:rsid w:val="004D0952"/>
    <w:rsid w:val="004D2510"/>
    <w:rsid w:val="004D4B59"/>
    <w:rsid w:val="004D543B"/>
    <w:rsid w:val="004D7D2B"/>
    <w:rsid w:val="005056A4"/>
    <w:rsid w:val="005107C4"/>
    <w:rsid w:val="005107C7"/>
    <w:rsid w:val="0052551E"/>
    <w:rsid w:val="005278F8"/>
    <w:rsid w:val="005306EC"/>
    <w:rsid w:val="00545FF4"/>
    <w:rsid w:val="00553CE9"/>
    <w:rsid w:val="0056293E"/>
    <w:rsid w:val="005740AF"/>
    <w:rsid w:val="005749AB"/>
    <w:rsid w:val="0057760E"/>
    <w:rsid w:val="00586A56"/>
    <w:rsid w:val="005A3F1A"/>
    <w:rsid w:val="005A7CF5"/>
    <w:rsid w:val="005B785D"/>
    <w:rsid w:val="005E05A0"/>
    <w:rsid w:val="005F6CE7"/>
    <w:rsid w:val="00611586"/>
    <w:rsid w:val="006139B9"/>
    <w:rsid w:val="00614F89"/>
    <w:rsid w:val="006241AB"/>
    <w:rsid w:val="00631E60"/>
    <w:rsid w:val="0063446F"/>
    <w:rsid w:val="00657A8B"/>
    <w:rsid w:val="00657C16"/>
    <w:rsid w:val="00675005"/>
    <w:rsid w:val="006C1D86"/>
    <w:rsid w:val="006C507F"/>
    <w:rsid w:val="006D2270"/>
    <w:rsid w:val="006F1CB4"/>
    <w:rsid w:val="006F585C"/>
    <w:rsid w:val="00700615"/>
    <w:rsid w:val="00703677"/>
    <w:rsid w:val="00703ECD"/>
    <w:rsid w:val="007211B0"/>
    <w:rsid w:val="00724360"/>
    <w:rsid w:val="00725403"/>
    <w:rsid w:val="00727C7E"/>
    <w:rsid w:val="00730BB3"/>
    <w:rsid w:val="00731397"/>
    <w:rsid w:val="00733031"/>
    <w:rsid w:val="00744E77"/>
    <w:rsid w:val="00756D31"/>
    <w:rsid w:val="00761177"/>
    <w:rsid w:val="00765B68"/>
    <w:rsid w:val="00785A25"/>
    <w:rsid w:val="00786BB4"/>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6EC2"/>
    <w:rsid w:val="00842800"/>
    <w:rsid w:val="008616A9"/>
    <w:rsid w:val="00862103"/>
    <w:rsid w:val="008776FD"/>
    <w:rsid w:val="008B19D2"/>
    <w:rsid w:val="008C2EEE"/>
    <w:rsid w:val="008D2E8F"/>
    <w:rsid w:val="009042E2"/>
    <w:rsid w:val="00905922"/>
    <w:rsid w:val="009133A3"/>
    <w:rsid w:val="00916113"/>
    <w:rsid w:val="00931B47"/>
    <w:rsid w:val="00941F21"/>
    <w:rsid w:val="0094539E"/>
    <w:rsid w:val="00945723"/>
    <w:rsid w:val="00945CA8"/>
    <w:rsid w:val="00953644"/>
    <w:rsid w:val="00956367"/>
    <w:rsid w:val="009A04FB"/>
    <w:rsid w:val="009A1ACE"/>
    <w:rsid w:val="009C363B"/>
    <w:rsid w:val="009D4674"/>
    <w:rsid w:val="009E0D9A"/>
    <w:rsid w:val="009E44FB"/>
    <w:rsid w:val="00A05A31"/>
    <w:rsid w:val="00A07CF7"/>
    <w:rsid w:val="00A13EFC"/>
    <w:rsid w:val="00A27893"/>
    <w:rsid w:val="00A4519D"/>
    <w:rsid w:val="00A5061C"/>
    <w:rsid w:val="00AA17A3"/>
    <w:rsid w:val="00AA35E8"/>
    <w:rsid w:val="00AA5937"/>
    <w:rsid w:val="00AC0394"/>
    <w:rsid w:val="00AD0BD5"/>
    <w:rsid w:val="00AD67F7"/>
    <w:rsid w:val="00AE28A2"/>
    <w:rsid w:val="00AF5992"/>
    <w:rsid w:val="00B006E0"/>
    <w:rsid w:val="00B01F5E"/>
    <w:rsid w:val="00B024E4"/>
    <w:rsid w:val="00B028A2"/>
    <w:rsid w:val="00B06CA0"/>
    <w:rsid w:val="00B07396"/>
    <w:rsid w:val="00B20A0C"/>
    <w:rsid w:val="00B306A4"/>
    <w:rsid w:val="00B40C47"/>
    <w:rsid w:val="00B42E6F"/>
    <w:rsid w:val="00B53DBC"/>
    <w:rsid w:val="00B6576A"/>
    <w:rsid w:val="00B65F18"/>
    <w:rsid w:val="00B70D5A"/>
    <w:rsid w:val="00B7251F"/>
    <w:rsid w:val="00B822A6"/>
    <w:rsid w:val="00B93C5A"/>
    <w:rsid w:val="00B94342"/>
    <w:rsid w:val="00B94DCE"/>
    <w:rsid w:val="00BB0EB0"/>
    <w:rsid w:val="00BB744A"/>
    <w:rsid w:val="00BD20A8"/>
    <w:rsid w:val="00BE2969"/>
    <w:rsid w:val="00BE378A"/>
    <w:rsid w:val="00BE5765"/>
    <w:rsid w:val="00C23263"/>
    <w:rsid w:val="00C3708F"/>
    <w:rsid w:val="00C37FD0"/>
    <w:rsid w:val="00C62153"/>
    <w:rsid w:val="00C74C1D"/>
    <w:rsid w:val="00C75D2D"/>
    <w:rsid w:val="00C85943"/>
    <w:rsid w:val="00C9418B"/>
    <w:rsid w:val="00C94FF7"/>
    <w:rsid w:val="00C97B56"/>
    <w:rsid w:val="00C97B6B"/>
    <w:rsid w:val="00CA35BF"/>
    <w:rsid w:val="00CA7673"/>
    <w:rsid w:val="00CB6FF1"/>
    <w:rsid w:val="00CC690E"/>
    <w:rsid w:val="00CD4B3A"/>
    <w:rsid w:val="00CF2BB9"/>
    <w:rsid w:val="00D01F61"/>
    <w:rsid w:val="00D03899"/>
    <w:rsid w:val="00D11B82"/>
    <w:rsid w:val="00D21776"/>
    <w:rsid w:val="00D26941"/>
    <w:rsid w:val="00D378B1"/>
    <w:rsid w:val="00D56273"/>
    <w:rsid w:val="00D920A0"/>
    <w:rsid w:val="00D94641"/>
    <w:rsid w:val="00DB06BB"/>
    <w:rsid w:val="00DD3F36"/>
    <w:rsid w:val="00E004DD"/>
    <w:rsid w:val="00E11384"/>
    <w:rsid w:val="00E30D2C"/>
    <w:rsid w:val="00E34815"/>
    <w:rsid w:val="00E44916"/>
    <w:rsid w:val="00E4570C"/>
    <w:rsid w:val="00E468DF"/>
    <w:rsid w:val="00E51CE3"/>
    <w:rsid w:val="00E57D2D"/>
    <w:rsid w:val="00E62147"/>
    <w:rsid w:val="00E84193"/>
    <w:rsid w:val="00E8701A"/>
    <w:rsid w:val="00E94329"/>
    <w:rsid w:val="00EA4CB6"/>
    <w:rsid w:val="00EB5201"/>
    <w:rsid w:val="00EB5E2E"/>
    <w:rsid w:val="00EC3512"/>
    <w:rsid w:val="00ED4F5C"/>
    <w:rsid w:val="00EE31E7"/>
    <w:rsid w:val="00EE766A"/>
    <w:rsid w:val="00EF34BD"/>
    <w:rsid w:val="00F027EE"/>
    <w:rsid w:val="00F418AB"/>
    <w:rsid w:val="00F42BBF"/>
    <w:rsid w:val="00F708BF"/>
    <w:rsid w:val="00F756C4"/>
    <w:rsid w:val="00F81A20"/>
    <w:rsid w:val="00F903C1"/>
    <w:rsid w:val="00FA5C09"/>
    <w:rsid w:val="00FB4528"/>
    <w:rsid w:val="00FC1BB0"/>
    <w:rsid w:val="00FC3071"/>
    <w:rsid w:val="00FD6CEC"/>
    <w:rsid w:val="00FE5B06"/>
    <w:rsid w:val="00FF4DFB"/>
    <w:rsid w:val="00FF6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1CE3"/>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CE3"/>
    <w:pPr>
      <w:ind w:left="720"/>
    </w:pPr>
  </w:style>
  <w:style w:type="paragraph" w:customStyle="1" w:styleId="DefaultText">
    <w:name w:val="Default Text"/>
    <w:basedOn w:val="Normal"/>
    <w:rsid w:val="00E51CE3"/>
    <w:pPr>
      <w:spacing w:after="0" w:line="240" w:lineRule="auto"/>
    </w:pPr>
    <w:rPr>
      <w:rFonts w:ascii="Times New Roman" w:hAnsi="Times New Roman"/>
      <w:sz w:val="24"/>
      <w:szCs w:val="20"/>
      <w:lang w:val="en-US"/>
    </w:rPr>
  </w:style>
  <w:style w:type="character" w:customStyle="1" w:styleId="DefaultTextChar">
    <w:name w:val="Default Text Char"/>
    <w:rsid w:val="00E51CE3"/>
    <w:rPr>
      <w:rFonts w:ascii="Times New Roman" w:eastAsia="Times New Roman" w:hAnsi="Times New Roman" w:cs="Times New Roman"/>
      <w:sz w:val="24"/>
      <w:szCs w:val="20"/>
      <w:lang w:eastAsia="ro-RO"/>
    </w:rPr>
  </w:style>
  <w:style w:type="paragraph" w:customStyle="1" w:styleId="DefaultText2">
    <w:name w:val="Default Text:2"/>
    <w:basedOn w:val="Normal"/>
    <w:rsid w:val="00E51CE3"/>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E51CE3"/>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E51CE3"/>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E51CE3"/>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binet@transgaz.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PC25-23August</cp:lastModifiedBy>
  <cp:revision>79</cp:revision>
  <dcterms:created xsi:type="dcterms:W3CDTF">2018-10-22T08:25:00Z</dcterms:created>
  <dcterms:modified xsi:type="dcterms:W3CDTF">2024-11-14T06:44:00Z</dcterms:modified>
</cp:coreProperties>
</file>